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Override PartName="/word/charts/style8.xml" ContentType="application/vnd.ms-office.chartstyle+xml"/>
  <Override PartName="/word/charts/colors8.xml" ContentType="application/vnd.ms-office.chartcolorstyle+xml"/>
  <Override PartName="/word/charts/style9.xml" ContentType="application/vnd.ms-office.chartstyle+xml"/>
  <Override PartName="/word/charts/colors9.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D2" w:rsidRPr="00307E62" w:rsidRDefault="008343D2" w:rsidP="008343D2">
      <w:pPr>
        <w:pStyle w:val="NormalWeb"/>
        <w:shd w:val="clear" w:color="auto" w:fill="FFFFFF"/>
        <w:spacing w:after="0"/>
        <w:ind w:left="426"/>
        <w:rPr>
          <w:rFonts w:asciiTheme="minorHAnsi" w:hAnsiTheme="minorHAnsi" w:cs="Arial"/>
          <w:b/>
          <w:sz w:val="22"/>
          <w:szCs w:val="22"/>
        </w:rPr>
      </w:pPr>
      <w:r w:rsidRPr="00307E62">
        <w:rPr>
          <w:rFonts w:asciiTheme="minorHAnsi" w:hAnsiTheme="minorHAnsi" w:cs="Arial"/>
          <w:b/>
          <w:noProof/>
          <w:sz w:val="22"/>
          <w:szCs w:val="22"/>
        </w:rPr>
        <mc:AlternateContent>
          <mc:Choice Requires="wps">
            <w:drawing>
              <wp:anchor distT="0" distB="0" distL="114300" distR="114300" simplePos="0" relativeHeight="251659264" behindDoc="0" locked="0" layoutInCell="1" allowOverlap="1" wp14:anchorId="13590947" wp14:editId="59C5B2D2">
                <wp:simplePos x="0" y="0"/>
                <wp:positionH relativeFrom="column">
                  <wp:posOffset>3623310</wp:posOffset>
                </wp:positionH>
                <wp:positionV relativeFrom="paragraph">
                  <wp:posOffset>-98425</wp:posOffset>
                </wp:positionV>
                <wp:extent cx="2456815" cy="1165860"/>
                <wp:effectExtent l="381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3D2" w:rsidRDefault="008343D2" w:rsidP="008343D2">
                            <w:r>
                              <w:rPr>
                                <w:noProof/>
                                <w:sz w:val="24"/>
                                <w:szCs w:val="24"/>
                                <w:lang w:val="en-US"/>
                              </w:rPr>
                              <w:drawing>
                                <wp:inline distT="0" distB="0" distL="0" distR="0" wp14:anchorId="0CD3213C" wp14:editId="1AAEC38E">
                                  <wp:extent cx="2259965" cy="888365"/>
                                  <wp:effectExtent l="19050" t="0" r="6985" b="0"/>
                                  <wp:docPr id="32" name="Picture 32" descr="G:\Admin\Main Logo in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Admin\Main Logo in Full Colour.JPG"/>
                                          <pic:cNvPicPr>
                                            <a:picLocks noChangeAspect="1" noChangeArrowheads="1"/>
                                          </pic:cNvPicPr>
                                        </pic:nvPicPr>
                                        <pic:blipFill>
                                          <a:blip r:embed="rId9"/>
                                          <a:srcRect/>
                                          <a:stretch>
                                            <a:fillRect/>
                                          </a:stretch>
                                        </pic:blipFill>
                                        <pic:spPr bwMode="auto">
                                          <a:xfrm>
                                            <a:off x="0" y="0"/>
                                            <a:ext cx="2259965" cy="8883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590947" id="_x0000_t202" coordsize="21600,21600" o:spt="202" path="m,l,21600r21600,l21600,xe">
                <v:stroke joinstyle="miter"/>
                <v:path gradientshapeok="t" o:connecttype="rect"/>
              </v:shapetype>
              <v:shape id="Text Box 2" o:spid="_x0000_s1026" type="#_x0000_t202" style="position:absolute;left:0;text-align:left;margin-left:285.3pt;margin-top:-7.75pt;width:193.45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XtgwIAABA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" stroked="f">
                <v:textbox>
                  <w:txbxContent>
                    <w:p w:rsidR="008343D2" w:rsidRDefault="008343D2" w:rsidP="008343D2">
                      <w:r>
                        <w:rPr>
                          <w:noProof/>
                          <w:sz w:val="24"/>
                          <w:szCs w:val="24"/>
                          <w:lang w:eastAsia="en-GB"/>
                        </w:rPr>
                        <w:drawing>
                          <wp:inline distT="0" distB="0" distL="0" distR="0" wp14:anchorId="0CD3213C" wp14:editId="1AAEC38E">
                            <wp:extent cx="2259965" cy="888365"/>
                            <wp:effectExtent l="19050" t="0" r="6985" b="0"/>
                            <wp:docPr id="32" name="Picture 32" descr="G:\Admin\Main Logo in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Admin\Main Logo in Full Colour.JPG"/>
                                    <pic:cNvPicPr>
                                      <a:picLocks noChangeAspect="1" noChangeArrowheads="1"/>
                                    </pic:cNvPicPr>
                                  </pic:nvPicPr>
                                  <pic:blipFill>
                                    <a:blip r:embed="rId10"/>
                                    <a:srcRect/>
                                    <a:stretch>
                                      <a:fillRect/>
                                    </a:stretch>
                                  </pic:blipFill>
                                  <pic:spPr bwMode="auto">
                                    <a:xfrm>
                                      <a:off x="0" y="0"/>
                                      <a:ext cx="2259965" cy="888365"/>
                                    </a:xfrm>
                                    <a:prstGeom prst="rect">
                                      <a:avLst/>
                                    </a:prstGeom>
                                    <a:noFill/>
                                    <a:ln w="9525">
                                      <a:noFill/>
                                      <a:miter lim="800000"/>
                                      <a:headEnd/>
                                      <a:tailEnd/>
                                    </a:ln>
                                  </pic:spPr>
                                </pic:pic>
                              </a:graphicData>
                            </a:graphic>
                          </wp:inline>
                        </w:drawing>
                      </w:r>
                    </w:p>
                  </w:txbxContent>
                </v:textbox>
              </v:shape>
            </w:pict>
          </mc:Fallback>
        </mc:AlternateContent>
      </w:r>
    </w:p>
    <w:p w:rsidR="008343D2" w:rsidRPr="00307E62" w:rsidRDefault="008343D2" w:rsidP="008343D2">
      <w:pPr>
        <w:pStyle w:val="NormalWeb"/>
        <w:shd w:val="clear" w:color="auto" w:fill="FFFFFF"/>
        <w:spacing w:after="0"/>
        <w:ind w:left="426"/>
        <w:rPr>
          <w:rFonts w:asciiTheme="minorHAnsi" w:hAnsiTheme="minorHAnsi" w:cs="Arial"/>
          <w:b/>
          <w:sz w:val="22"/>
          <w:szCs w:val="22"/>
        </w:rPr>
      </w:pPr>
    </w:p>
    <w:p w:rsidR="008343D2" w:rsidRPr="00307E62" w:rsidRDefault="008343D2" w:rsidP="008343D2">
      <w:pPr>
        <w:spacing w:before="120" w:after="120" w:line="240" w:lineRule="auto"/>
        <w:outlineLvl w:val="3"/>
        <w:rPr>
          <w:rFonts w:asciiTheme="minorHAnsi" w:hAnsiTheme="minorHAnsi"/>
          <w:b/>
        </w:rPr>
      </w:pPr>
    </w:p>
    <w:p w:rsidR="008343D2" w:rsidRPr="00307E62" w:rsidRDefault="008343D2" w:rsidP="008343D2">
      <w:pPr>
        <w:spacing w:before="120" w:after="120" w:line="240" w:lineRule="auto"/>
        <w:outlineLvl w:val="3"/>
        <w:rPr>
          <w:rFonts w:asciiTheme="minorHAnsi" w:hAnsiTheme="minorHAnsi"/>
          <w:b/>
        </w:rPr>
      </w:pPr>
    </w:p>
    <w:p w:rsidR="008343D2" w:rsidRPr="00307E62" w:rsidRDefault="008343D2" w:rsidP="008343D2">
      <w:pPr>
        <w:spacing w:before="120" w:after="120" w:line="240" w:lineRule="auto"/>
        <w:outlineLvl w:val="3"/>
        <w:rPr>
          <w:rFonts w:asciiTheme="minorHAnsi" w:hAnsiTheme="minorHAnsi"/>
          <w:b/>
        </w:rPr>
      </w:pPr>
    </w:p>
    <w:p w:rsidR="008343D2" w:rsidRPr="00307E62" w:rsidRDefault="008343D2" w:rsidP="008343D2">
      <w:pPr>
        <w:spacing w:before="120" w:after="120" w:line="240" w:lineRule="auto"/>
        <w:outlineLvl w:val="3"/>
        <w:rPr>
          <w:rFonts w:asciiTheme="minorHAnsi" w:hAnsiTheme="minorHAnsi"/>
          <w:b/>
        </w:rPr>
      </w:pPr>
    </w:p>
    <w:p w:rsidR="008343D2" w:rsidRPr="00307E62" w:rsidRDefault="008343D2" w:rsidP="008343D2">
      <w:pPr>
        <w:spacing w:before="120" w:after="120" w:line="240" w:lineRule="auto"/>
        <w:outlineLvl w:val="3"/>
        <w:rPr>
          <w:rFonts w:asciiTheme="minorHAnsi" w:hAnsiTheme="minorHAnsi"/>
          <w:b/>
        </w:rPr>
      </w:pPr>
      <w:r w:rsidRPr="00307E62">
        <w:rPr>
          <w:rFonts w:asciiTheme="minorHAnsi" w:hAnsiTheme="minorHAnsi"/>
          <w:b/>
        </w:rPr>
        <w:t xml:space="preserve">Royal College of Nursing </w:t>
      </w:r>
      <w:r>
        <w:rPr>
          <w:rFonts w:asciiTheme="minorHAnsi" w:hAnsiTheme="minorHAnsi"/>
          <w:b/>
        </w:rPr>
        <w:t xml:space="preserve">in Northern Ireland - Supplementary </w:t>
      </w:r>
      <w:r w:rsidRPr="00307E62">
        <w:rPr>
          <w:rFonts w:asciiTheme="minorHAnsi" w:hAnsiTheme="minorHAnsi"/>
          <w:b/>
        </w:rPr>
        <w:t xml:space="preserve">Evidence to the </w:t>
      </w:r>
      <w:r w:rsidRPr="00307E62">
        <w:rPr>
          <w:rFonts w:asciiTheme="minorHAnsi" w:hAnsiTheme="minorHAnsi"/>
          <w:b/>
        </w:rPr>
        <w:br/>
        <w:t>NHS Pay Review Body 2016-17</w:t>
      </w: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b/>
        </w:rPr>
      </w:pPr>
    </w:p>
    <w:p w:rsidR="008343D2" w:rsidRPr="00307E62" w:rsidRDefault="008343D2" w:rsidP="008343D2">
      <w:pPr>
        <w:spacing w:after="0" w:line="240" w:lineRule="auto"/>
        <w:outlineLvl w:val="3"/>
        <w:rPr>
          <w:rFonts w:asciiTheme="minorHAnsi" w:hAnsiTheme="minorHAnsi"/>
        </w:rPr>
      </w:pPr>
      <w:r>
        <w:rPr>
          <w:rFonts w:asciiTheme="minorHAnsi" w:hAnsiTheme="minorHAnsi"/>
        </w:rPr>
        <w:t>February 2016</w:t>
      </w:r>
    </w:p>
    <w:p w:rsidR="008343D2" w:rsidRPr="00307E62" w:rsidRDefault="008343D2" w:rsidP="008343D2">
      <w:pPr>
        <w:spacing w:after="0" w:line="240" w:lineRule="auto"/>
        <w:outlineLvl w:val="3"/>
        <w:rPr>
          <w:rFonts w:asciiTheme="minorHAnsi" w:hAnsiTheme="minorHAnsi"/>
        </w:rPr>
      </w:pPr>
    </w:p>
    <w:p w:rsidR="008343D2" w:rsidRPr="00307E62" w:rsidRDefault="008343D2" w:rsidP="008343D2">
      <w:pPr>
        <w:spacing w:after="0" w:line="240" w:lineRule="auto"/>
        <w:outlineLvl w:val="3"/>
        <w:rPr>
          <w:rFonts w:asciiTheme="minorHAnsi" w:hAnsiTheme="minorHAnsi"/>
          <w:b/>
        </w:rPr>
      </w:pPr>
    </w:p>
    <w:p w:rsidR="008343D2" w:rsidRDefault="008343D2">
      <w:pPr>
        <w:spacing w:after="160" w:line="259" w:lineRule="auto"/>
        <w:rPr>
          <w:b/>
          <w:sz w:val="24"/>
          <w:szCs w:val="24"/>
        </w:rPr>
      </w:pPr>
      <w:r>
        <w:rPr>
          <w:b/>
          <w:sz w:val="24"/>
          <w:szCs w:val="24"/>
        </w:rPr>
        <w:br w:type="page"/>
      </w:r>
    </w:p>
    <w:p w:rsidR="0011250C" w:rsidRPr="005324FD" w:rsidRDefault="0011250C" w:rsidP="00674DF8">
      <w:pPr>
        <w:pStyle w:val="ListParagraph"/>
        <w:numPr>
          <w:ilvl w:val="0"/>
          <w:numId w:val="3"/>
        </w:numPr>
        <w:rPr>
          <w:b/>
          <w:sz w:val="24"/>
          <w:szCs w:val="24"/>
        </w:rPr>
      </w:pPr>
      <w:r w:rsidRPr="005324FD">
        <w:rPr>
          <w:b/>
          <w:sz w:val="24"/>
          <w:szCs w:val="24"/>
        </w:rPr>
        <w:lastRenderedPageBreak/>
        <w:t>Introduction</w:t>
      </w:r>
    </w:p>
    <w:p w:rsidR="00C875F5" w:rsidRDefault="00987FA1" w:rsidP="00674DF8">
      <w:r w:rsidRPr="00033C62">
        <w:t xml:space="preserve">In January 2016, the Northern Ireland Health Minister imposed a pay award for </w:t>
      </w:r>
      <w:r w:rsidR="0014383F" w:rsidRPr="00033C62">
        <w:t>nurs</w:t>
      </w:r>
      <w:r w:rsidR="0014383F">
        <w:t>ing</w:t>
      </w:r>
      <w:r w:rsidR="0014383F" w:rsidRPr="00033C62">
        <w:t xml:space="preserve"> </w:t>
      </w:r>
      <w:r w:rsidRPr="00033C62">
        <w:t xml:space="preserve">and other HSC staff for 2015-2016. Under the terms of the Minister’s announcement, staff at the top of their Agenda for Change pay band will receive a 1% non-consolidated award. </w:t>
      </w:r>
      <w:r w:rsidR="0014383F" w:rsidRPr="00033C62">
        <w:t>Nurs</w:t>
      </w:r>
      <w:r w:rsidR="0014383F">
        <w:t>ing staff</w:t>
      </w:r>
      <w:r w:rsidR="0014383F" w:rsidRPr="00033C62">
        <w:t xml:space="preserve"> </w:t>
      </w:r>
      <w:proofErr w:type="gramStart"/>
      <w:r w:rsidRPr="00033C62">
        <w:t>who</w:t>
      </w:r>
      <w:proofErr w:type="gramEnd"/>
      <w:r w:rsidRPr="00033C62">
        <w:t xml:space="preserve"> are not at the top of their pay band will not receive any cost of living pay increase. </w:t>
      </w:r>
    </w:p>
    <w:p w:rsidR="00987FA1" w:rsidRDefault="00987FA1" w:rsidP="00674DF8">
      <w:r w:rsidRPr="00033C62">
        <w:t>The Royal College of Nursing [RCN] quest</w:t>
      </w:r>
      <w:r w:rsidR="008238C3">
        <w:t>ions the view that entitlement to an</w:t>
      </w:r>
      <w:r w:rsidRPr="00033C62">
        <w:t xml:space="preserve"> </w:t>
      </w:r>
      <w:r w:rsidR="008238C3">
        <w:t>incremental award negates a right to a cost of living</w:t>
      </w:r>
      <w:r w:rsidR="00DA5E64">
        <w:t xml:space="preserve"> </w:t>
      </w:r>
      <w:r w:rsidRPr="00033C62">
        <w:t xml:space="preserve">pay rise. Incremental progression, subject to satisfactory performance, is a contractual entitlement under Agenda for Change that, in our judgement, is not within the </w:t>
      </w:r>
      <w:r w:rsidR="00DA5E64">
        <w:t>DHSSPS’s</w:t>
      </w:r>
      <w:r w:rsidRPr="00033C62">
        <w:t xml:space="preserve"> remit to “award” or withhold.</w:t>
      </w:r>
    </w:p>
    <w:p w:rsidR="00987FA1" w:rsidRDefault="00987FA1" w:rsidP="00674DF8">
      <w:r w:rsidRPr="00033C62">
        <w:t xml:space="preserve">This </w:t>
      </w:r>
      <w:r w:rsidR="008238C3">
        <w:t>most recent announcement follows</w:t>
      </w:r>
      <w:r w:rsidRPr="00033C62">
        <w:t xml:space="preserve"> several years of pay restraint</w:t>
      </w:r>
      <w:r w:rsidR="008238C3">
        <w:t xml:space="preserve">, </w:t>
      </w:r>
      <w:r w:rsidR="008238C3" w:rsidRPr="00033C62">
        <w:t xml:space="preserve">including two years of a pay freeze </w:t>
      </w:r>
      <w:r w:rsidR="00CE11C7">
        <w:t>(</w:t>
      </w:r>
      <w:r w:rsidR="008238C3">
        <w:t>2011</w:t>
      </w:r>
      <w:r w:rsidR="00CE11C7">
        <w:t>-2012 and 2012-</w:t>
      </w:r>
      <w:r w:rsidR="008238C3">
        <w:t>2013</w:t>
      </w:r>
      <w:r w:rsidR="00CE11C7">
        <w:t>)</w:t>
      </w:r>
      <w:r w:rsidRPr="00033C62">
        <w:t xml:space="preserve"> </w:t>
      </w:r>
      <w:r w:rsidR="008238C3">
        <w:t>and a</w:t>
      </w:r>
      <w:r w:rsidRPr="00033C62">
        <w:t xml:space="preserve"> 2014-2015 awar</w:t>
      </w:r>
      <w:r w:rsidR="008238C3">
        <w:t>d where</w:t>
      </w:r>
      <w:r w:rsidR="00CE11C7">
        <w:t>by</w:t>
      </w:r>
      <w:r w:rsidR="008238C3">
        <w:t xml:space="preserve"> </w:t>
      </w:r>
      <w:r w:rsidR="008238C3" w:rsidRPr="00033C62">
        <w:t>staff at the top of their Agenda for Change pay band receive</w:t>
      </w:r>
      <w:r w:rsidR="00CE11C7">
        <w:t>d</w:t>
      </w:r>
      <w:r w:rsidR="008238C3" w:rsidRPr="00033C62">
        <w:t xml:space="preserve"> a 1% non-consolidated award</w:t>
      </w:r>
      <w:r w:rsidR="008238C3">
        <w:t xml:space="preserve">. </w:t>
      </w:r>
      <w:r w:rsidRPr="00033C62">
        <w:t>Accordi</w:t>
      </w:r>
      <w:r w:rsidR="008238C3">
        <w:t>ngly, on 1 April 2016, those</w:t>
      </w:r>
      <w:r w:rsidRPr="00033C62">
        <w:t xml:space="preserve"> staff who received the non-consolidated award will see their pay return to t</w:t>
      </w:r>
      <w:r w:rsidR="00F12C34">
        <w:t>he same level as at 1 April 2013</w:t>
      </w:r>
      <w:r w:rsidRPr="00033C62">
        <w:t xml:space="preserve">.  </w:t>
      </w:r>
      <w:r w:rsidR="009A22F6">
        <w:t xml:space="preserve">A health care assistant employed </w:t>
      </w:r>
      <w:r w:rsidR="00FD616D">
        <w:t xml:space="preserve">in a </w:t>
      </w:r>
      <w:r w:rsidR="009A22F6">
        <w:t xml:space="preserve">Band </w:t>
      </w:r>
      <w:r w:rsidR="00FD616D">
        <w:t>2</w:t>
      </w:r>
      <w:r w:rsidR="009A22F6">
        <w:t xml:space="preserve"> </w:t>
      </w:r>
      <w:r w:rsidR="00FD616D">
        <w:t xml:space="preserve">post </w:t>
      </w:r>
      <w:r w:rsidR="009A22F6">
        <w:t>in Northern Ireland is now paid £</w:t>
      </w:r>
      <w:r w:rsidR="00FD616D">
        <w:t>806</w:t>
      </w:r>
      <w:r w:rsidR="009A22F6">
        <w:t xml:space="preserve"> less </w:t>
      </w:r>
      <w:r w:rsidR="00F12C34">
        <w:t xml:space="preserve">per year </w:t>
      </w:r>
      <w:r w:rsidR="009A22F6">
        <w:t>than a counterpart in England and £</w:t>
      </w:r>
      <w:r w:rsidR="00FD616D">
        <w:t>1064</w:t>
      </w:r>
      <w:r w:rsidR="009A22F6">
        <w:t xml:space="preserve"> less than in Scotland.  </w:t>
      </w:r>
      <w:r w:rsidRPr="00033C62">
        <w:t>A newly-qualified band 5 staff nurse in Northern Ireland is now paid £214 per year less than a counterpart in England and £340 per year less than in Scotland. An experienced band 5 staff nurse at the top of the pay banding is now paid £2</w:t>
      </w:r>
      <w:r w:rsidR="00842E17">
        <w:t>07</w:t>
      </w:r>
      <w:r w:rsidRPr="00033C62">
        <w:t xml:space="preserve"> per year less than a counterpart in England and £5</w:t>
      </w:r>
      <w:r w:rsidR="00842E17">
        <w:t>67</w:t>
      </w:r>
      <w:r w:rsidRPr="00033C62">
        <w:t xml:space="preserve"> less than in Scotland. A specialist nurse in Northern Ireland is now paid up to £406 per annum less than a counterpart in England and £815 less than in Scotland</w:t>
      </w:r>
      <w:r w:rsidR="00CE11C7">
        <w:t xml:space="preserve"> (s</w:t>
      </w:r>
      <w:r w:rsidR="008238C3">
        <w:t xml:space="preserve">ee </w:t>
      </w:r>
      <w:r w:rsidR="0014383F">
        <w:t xml:space="preserve">Chart </w:t>
      </w:r>
      <w:r w:rsidR="009A22F6">
        <w:t>2</w:t>
      </w:r>
      <w:r w:rsidR="00CE11C7">
        <w:t>)</w:t>
      </w:r>
      <w:r w:rsidR="008238C3">
        <w:t xml:space="preserve">. </w:t>
      </w:r>
      <w:r w:rsidRPr="00033C62">
        <w:t>As detailed below, the RCN has already identified worrying evidence of the impact of this position upon the ability of Northern Ireland nurs</w:t>
      </w:r>
      <w:r w:rsidR="0014383F">
        <w:t>ing staff</w:t>
      </w:r>
      <w:r w:rsidRPr="00033C62">
        <w:t xml:space="preserve"> to meet fuel bill and childcare commitments, for example.</w:t>
      </w:r>
    </w:p>
    <w:p w:rsidR="00987FA1" w:rsidRDefault="00987FA1" w:rsidP="00674DF8">
      <w:r w:rsidRPr="00033C62">
        <w:t xml:space="preserve">The policy on pay pursued by the Department of Health, Social Services and Public Safety [DHSSPS] in recent years has, in the judgement of the RCN, intensified the hardship felt by nursing staff and added to the perception that the care they provide to the people of Northern Ireland is not valued by the Executive and Assembly. </w:t>
      </w:r>
    </w:p>
    <w:p w:rsidR="00987FA1" w:rsidRPr="00033C62" w:rsidRDefault="00987FA1" w:rsidP="00674DF8">
      <w:pPr>
        <w:rPr>
          <w:bCs/>
        </w:rPr>
      </w:pPr>
      <w:r w:rsidRPr="00033C62">
        <w:rPr>
          <w:bCs/>
        </w:rPr>
        <w:t xml:space="preserve">The impact of this on health and social care in Northern Ireland is apparent, with high levels of vacancies across the HSC and the independent (nursing home) sector, and demand for nursing staff outstripping supply. </w:t>
      </w:r>
    </w:p>
    <w:p w:rsidR="00987FA1" w:rsidRDefault="00987FA1" w:rsidP="00674DF8">
      <w:pPr>
        <w:rPr>
          <w:bCs/>
        </w:rPr>
      </w:pPr>
      <w:r w:rsidRPr="00033C62">
        <w:rPr>
          <w:bCs/>
        </w:rPr>
        <w:t>There is a significant over-reliance on the supply of nurs</w:t>
      </w:r>
      <w:r w:rsidR="0014383F">
        <w:rPr>
          <w:bCs/>
        </w:rPr>
        <w:t>ing staff</w:t>
      </w:r>
      <w:r w:rsidRPr="00033C62">
        <w:rPr>
          <w:bCs/>
        </w:rPr>
        <w:t xml:space="preserve"> on an </w:t>
      </w:r>
      <w:r w:rsidRPr="00033C62">
        <w:rPr>
          <w:bCs/>
          <w:i/>
        </w:rPr>
        <w:t>ad hoc</w:t>
      </w:r>
      <w:r w:rsidRPr="00033C62">
        <w:rPr>
          <w:bCs/>
        </w:rPr>
        <w:t xml:space="preserve"> basis through the nurse bank and nursing agencies. </w:t>
      </w:r>
      <w:r w:rsidR="0014383F" w:rsidRPr="00033C62">
        <w:rPr>
          <w:bCs/>
        </w:rPr>
        <w:t>Nurs</w:t>
      </w:r>
      <w:r w:rsidR="0014383F">
        <w:rPr>
          <w:bCs/>
        </w:rPr>
        <w:t>ing staff</w:t>
      </w:r>
      <w:r w:rsidR="0014383F" w:rsidRPr="00033C62">
        <w:rPr>
          <w:bCs/>
        </w:rPr>
        <w:t xml:space="preserve"> </w:t>
      </w:r>
      <w:r w:rsidRPr="00033C62">
        <w:rPr>
          <w:bCs/>
        </w:rPr>
        <w:t xml:space="preserve">in Northern Ireland are more likely than </w:t>
      </w:r>
      <w:r w:rsidR="0014383F">
        <w:rPr>
          <w:bCs/>
        </w:rPr>
        <w:t xml:space="preserve">colleagues </w:t>
      </w:r>
      <w:r w:rsidRPr="00033C62">
        <w:rPr>
          <w:bCs/>
        </w:rPr>
        <w:t xml:space="preserve">in England, Scotland or Wales to cite increases in workload, unfilled vacancies and recruitment freezes in their workplace. As our evidence demonstrates, there are alarmingly high sickness absence rates amongst HSC staff that are, we </w:t>
      </w:r>
      <w:proofErr w:type="gramStart"/>
      <w:r w:rsidRPr="00033C62">
        <w:rPr>
          <w:bCs/>
        </w:rPr>
        <w:t>believe</w:t>
      </w:r>
      <w:proofErr w:type="gramEnd"/>
      <w:r w:rsidRPr="00033C62">
        <w:rPr>
          <w:bCs/>
        </w:rPr>
        <w:t xml:space="preserve">, largely attributable to stress and mental ill health. The 2015 HSC staff survey </w:t>
      </w:r>
      <w:r w:rsidR="00F12C34">
        <w:rPr>
          <w:bCs/>
        </w:rPr>
        <w:t xml:space="preserve">soon to be published, </w:t>
      </w:r>
      <w:r w:rsidRPr="00033C62">
        <w:rPr>
          <w:bCs/>
        </w:rPr>
        <w:t xml:space="preserve">indicates that 19% of all HSC staff, almost one-fifth of the workforce, say that they will probably look for another job elsewhere in the next 12 months, whilst 16% report that they </w:t>
      </w:r>
      <w:proofErr w:type="gramStart"/>
      <w:r w:rsidRPr="00033C62">
        <w:rPr>
          <w:bCs/>
        </w:rPr>
        <w:t>will</w:t>
      </w:r>
      <w:proofErr w:type="gramEnd"/>
      <w:r w:rsidRPr="00033C62">
        <w:rPr>
          <w:bCs/>
        </w:rPr>
        <w:t xml:space="preserve"> leave the HSC as soon as they find another position.</w:t>
      </w:r>
    </w:p>
    <w:p w:rsidR="00C875F5" w:rsidRPr="00033C62" w:rsidRDefault="00C875F5" w:rsidP="00C875F5">
      <w:pPr>
        <w:rPr>
          <w:bCs/>
        </w:rPr>
      </w:pPr>
      <w:r w:rsidRPr="00033C62">
        <w:rPr>
          <w:bCs/>
        </w:rPr>
        <w:t>According to the 2012 HSC staff survey, three-quarters of all nurses in Northern Ireland work</w:t>
      </w:r>
      <w:r w:rsidR="001740A2">
        <w:rPr>
          <w:bCs/>
        </w:rPr>
        <w:t>ed</w:t>
      </w:r>
      <w:r w:rsidRPr="00033C62">
        <w:rPr>
          <w:bCs/>
        </w:rPr>
        <w:t xml:space="preserve"> beyond </w:t>
      </w:r>
      <w:proofErr w:type="gramStart"/>
      <w:r w:rsidRPr="00033C62">
        <w:rPr>
          <w:bCs/>
        </w:rPr>
        <w:t>their</w:t>
      </w:r>
      <w:proofErr w:type="gramEnd"/>
      <w:r w:rsidRPr="00033C62">
        <w:rPr>
          <w:bCs/>
        </w:rPr>
        <w:t xml:space="preserve"> contracted hours each month because they </w:t>
      </w:r>
      <w:r w:rsidR="001740A2">
        <w:rPr>
          <w:bCs/>
        </w:rPr>
        <w:t>were</w:t>
      </w:r>
      <w:r w:rsidRPr="00033C62">
        <w:rPr>
          <w:bCs/>
        </w:rPr>
        <w:t xml:space="preserve"> concerned about patient care. More than 50% of those that d</w:t>
      </w:r>
      <w:r w:rsidR="001740A2">
        <w:rPr>
          <w:bCs/>
        </w:rPr>
        <w:t>id</w:t>
      </w:r>
      <w:r w:rsidRPr="00033C62">
        <w:rPr>
          <w:bCs/>
        </w:rPr>
        <w:t xml:space="preserve"> so </w:t>
      </w:r>
      <w:r w:rsidR="001740A2">
        <w:rPr>
          <w:bCs/>
        </w:rPr>
        <w:t>were</w:t>
      </w:r>
      <w:r w:rsidRPr="00033C62">
        <w:rPr>
          <w:bCs/>
        </w:rPr>
        <w:t xml:space="preserve"> unpaid for these extra hours. Preliminary results from the 2015 HSC staff survey indicate that 71% of all HSC staff work </w:t>
      </w:r>
      <w:r w:rsidRPr="00033C62">
        <w:rPr>
          <w:bCs/>
        </w:rPr>
        <w:lastRenderedPageBreak/>
        <w:t>additional unpaid hours each week (compared with 58% in England) and that this figure has increased significantly from the 47% recorded in 2012. Over half (56%) are unable to meet the conflicting demands of their work.</w:t>
      </w:r>
    </w:p>
    <w:p w:rsidR="00987FA1" w:rsidRPr="00033C62" w:rsidRDefault="00987FA1" w:rsidP="00674DF8">
      <w:pPr>
        <w:rPr>
          <w:bCs/>
        </w:rPr>
      </w:pPr>
      <w:r w:rsidRPr="00033C62">
        <w:rPr>
          <w:bCs/>
        </w:rPr>
        <w:t xml:space="preserve">The DHSSPS workforce plan for 2015-2025 indicates that some 21% of </w:t>
      </w:r>
      <w:proofErr w:type="gramStart"/>
      <w:r w:rsidRPr="00033C62">
        <w:rPr>
          <w:bCs/>
        </w:rPr>
        <w:t>newly-qualified</w:t>
      </w:r>
      <w:proofErr w:type="gramEnd"/>
      <w:r w:rsidRPr="00033C62">
        <w:rPr>
          <w:bCs/>
        </w:rPr>
        <w:t xml:space="preserve"> nurses here plan to leave Northern Ireland to work elsewhere. The impact of this upon patient care in Northern Ireland will be devastating.</w:t>
      </w:r>
    </w:p>
    <w:p w:rsidR="00987FA1" w:rsidRDefault="00987FA1" w:rsidP="00674DF8">
      <w:pPr>
        <w:pStyle w:val="NoSpacing"/>
        <w:rPr>
          <w:rFonts w:ascii="Arial" w:hAnsi="Arial" w:cs="Arial"/>
          <w:bCs/>
        </w:rPr>
      </w:pPr>
    </w:p>
    <w:p w:rsidR="005324FD" w:rsidRPr="00033C62" w:rsidRDefault="005324FD" w:rsidP="00674DF8">
      <w:pPr>
        <w:pStyle w:val="NoSpacing"/>
        <w:rPr>
          <w:rFonts w:ascii="Arial" w:hAnsi="Arial" w:cs="Arial"/>
          <w:bCs/>
        </w:rPr>
      </w:pPr>
    </w:p>
    <w:p w:rsidR="005324FD" w:rsidRPr="005324FD" w:rsidRDefault="00CE11C7" w:rsidP="00674DF8">
      <w:pPr>
        <w:pStyle w:val="ListParagraph"/>
        <w:numPr>
          <w:ilvl w:val="0"/>
          <w:numId w:val="3"/>
        </w:numPr>
        <w:rPr>
          <w:b/>
          <w:sz w:val="24"/>
          <w:szCs w:val="24"/>
        </w:rPr>
      </w:pPr>
      <w:r>
        <w:rPr>
          <w:b/>
          <w:sz w:val="24"/>
          <w:szCs w:val="24"/>
        </w:rPr>
        <w:t xml:space="preserve">Need for NHS </w:t>
      </w:r>
      <w:r w:rsidR="005324FD">
        <w:rPr>
          <w:b/>
          <w:sz w:val="24"/>
          <w:szCs w:val="24"/>
        </w:rPr>
        <w:t>Pay Review Body recommendations</w:t>
      </w:r>
    </w:p>
    <w:p w:rsidR="00BB22F2" w:rsidRDefault="00BB22F2" w:rsidP="00674DF8">
      <w:r>
        <w:t>In 2014</w:t>
      </w:r>
      <w:r w:rsidR="00CE11C7">
        <w:t>-20</w:t>
      </w:r>
      <w:r>
        <w:t>15 the then Northern Ireland Minister of Health chose not to accept the</w:t>
      </w:r>
      <w:r w:rsidR="00CE11C7">
        <w:t xml:space="preserve"> NHS Pay Review Body [</w:t>
      </w:r>
      <w:r>
        <w:t>NHSPRB</w:t>
      </w:r>
      <w:r w:rsidR="00CE11C7">
        <w:t>]</w:t>
      </w:r>
      <w:r>
        <w:t xml:space="preserve"> recommendation of a 1% consolidated pay award for all staff on Agenda for Change terms and conditions. Instead, </w:t>
      </w:r>
      <w:r w:rsidR="00DA5E64">
        <w:t xml:space="preserve">in January 2015 </w:t>
      </w:r>
      <w:r>
        <w:t xml:space="preserve">the Minister followed the decision made by the </w:t>
      </w:r>
      <w:r w:rsidR="00C875F5">
        <w:t xml:space="preserve">Secretary of State </w:t>
      </w:r>
      <w:r>
        <w:t xml:space="preserve">for Health in England and awarded a 1% non-consolidated payment for those staff at the top of their increment.  </w:t>
      </w:r>
    </w:p>
    <w:p w:rsidR="00BB22F2" w:rsidRDefault="00C875F5" w:rsidP="00674DF8">
      <w:r>
        <w:t xml:space="preserve">In relation to the pay award for </w:t>
      </w:r>
      <w:r w:rsidR="00CE11C7">
        <w:t>2015-20</w:t>
      </w:r>
      <w:r w:rsidR="00BB22F2">
        <w:t>16</w:t>
      </w:r>
      <w:r w:rsidR="00CE11C7">
        <w:t>,</w:t>
      </w:r>
      <w:r w:rsidR="00BB22F2">
        <w:t xml:space="preserve"> the decision was not made until 8 January 2016, with the Minister announcing </w:t>
      </w:r>
      <w:r w:rsidR="008238C3">
        <w:t xml:space="preserve">via a press release </w:t>
      </w:r>
      <w:r w:rsidR="00BB22F2">
        <w:t xml:space="preserve">that the same award as </w:t>
      </w:r>
      <w:r>
        <w:t xml:space="preserve">for </w:t>
      </w:r>
      <w:r w:rsidR="00BB22F2">
        <w:t>2014</w:t>
      </w:r>
      <w:r w:rsidR="00CE11C7">
        <w:t>-201</w:t>
      </w:r>
      <w:r w:rsidR="00BB22F2">
        <w:t>5 would be implemented for all HSC staff on Agenda for Change terms and conditions.</w:t>
      </w:r>
    </w:p>
    <w:p w:rsidR="00BB22F2" w:rsidRDefault="00BB22F2" w:rsidP="00674DF8">
      <w:r>
        <w:t>These successive decisions have</w:t>
      </w:r>
      <w:r w:rsidR="008238C3">
        <w:t xml:space="preserve"> led to </w:t>
      </w:r>
      <w:r w:rsidR="00C875F5">
        <w:t xml:space="preserve">a </w:t>
      </w:r>
      <w:r w:rsidR="008238C3">
        <w:t>growing disparity</w:t>
      </w:r>
      <w:r>
        <w:t xml:space="preserve"> in pay </w:t>
      </w:r>
      <w:r w:rsidR="00C875F5">
        <w:t>between Northern Ireland and the other UK</w:t>
      </w:r>
      <w:r>
        <w:t xml:space="preserve"> countries</w:t>
      </w:r>
      <w:r w:rsidR="00CE11C7">
        <w:t>,</w:t>
      </w:r>
      <w:r>
        <w:t xml:space="preserve"> with Northern Ireland clearly at the bottom of the table for all bands. The RCN believe this is unfair, unequal and unacceptable.</w:t>
      </w:r>
    </w:p>
    <w:p w:rsidR="00987FA1" w:rsidRPr="00033C62" w:rsidRDefault="00987FA1" w:rsidP="00674DF8">
      <w:r w:rsidRPr="00033C62">
        <w:t xml:space="preserve">In light of the significant delay on the part of the DHSSPS in formulating a 2015-2016 pay award, the RCN launched a campaign to highlight a range of issues relating to the fair treatment of </w:t>
      </w:r>
      <w:r w:rsidR="0014383F" w:rsidRPr="00033C62">
        <w:t>nurs</w:t>
      </w:r>
      <w:r w:rsidR="0014383F">
        <w:t>ing staff</w:t>
      </w:r>
      <w:r w:rsidR="0014383F" w:rsidRPr="00033C62">
        <w:t xml:space="preserve"> </w:t>
      </w:r>
      <w:r w:rsidRPr="00033C62">
        <w:t xml:space="preserve">and the link between these concerns and high quality patient care. Specifically, the RCN called for </w:t>
      </w:r>
      <w:proofErr w:type="gramStart"/>
      <w:r w:rsidRPr="00033C62">
        <w:t>a 1</w:t>
      </w:r>
      <w:proofErr w:type="gramEnd"/>
      <w:r w:rsidRPr="00033C62">
        <w:t>% consolidated uplift for all nursing staff on Agenda for Change terms and conditions of service. This call was supported by 68 individual members of the Northern Ireland A</w:t>
      </w:r>
      <w:r w:rsidR="00F12C34">
        <w:t xml:space="preserve">ssembly and by five of the </w:t>
      </w:r>
      <w:r w:rsidRPr="00033C62">
        <w:t xml:space="preserve">political parties with Assembly </w:t>
      </w:r>
      <w:proofErr w:type="gramStart"/>
      <w:r w:rsidRPr="00033C62">
        <w:t>representa</w:t>
      </w:r>
      <w:r w:rsidR="00F12C34">
        <w:t>tion,</w:t>
      </w:r>
      <w:proofErr w:type="gramEnd"/>
      <w:r w:rsidR="00F12C34">
        <w:t xml:space="preserve"> </w:t>
      </w:r>
      <w:r w:rsidRPr="00033C62">
        <w:t>The RCN believes that there exists in Northern Ireland a significant political consensus in support of fair pay for nursing staff.</w:t>
      </w:r>
    </w:p>
    <w:p w:rsidR="00987FA1" w:rsidRDefault="00987FA1" w:rsidP="00674DF8">
      <w:r w:rsidRPr="00033C62">
        <w:t>The RCN welcomed the Minister’s announcement on 9 February 2016 that he has committed to seek a recommendation from the NHS</w:t>
      </w:r>
      <w:r w:rsidR="00CE11C7">
        <w:t>PRB</w:t>
      </w:r>
      <w:r w:rsidRPr="00033C62">
        <w:t xml:space="preserve"> in respect of a </w:t>
      </w:r>
      <w:proofErr w:type="gramStart"/>
      <w:r w:rsidRPr="00033C62">
        <w:t>2016-2017 pay</w:t>
      </w:r>
      <w:proofErr w:type="gramEnd"/>
      <w:r w:rsidRPr="00033C62">
        <w:t xml:space="preserve"> award. The RCN also welcomed the Minister’s recommendation that the conclusions of the NHS</w:t>
      </w:r>
      <w:r w:rsidR="00CE11C7">
        <w:t>PRB</w:t>
      </w:r>
      <w:r w:rsidRPr="00033C62">
        <w:t xml:space="preserve"> are honoured in determining the 2016-2017 award. We agree with the Minister’s assertion that it is in the interests not just of </w:t>
      </w:r>
      <w:r w:rsidR="0014383F" w:rsidRPr="00033C62">
        <w:t>nurs</w:t>
      </w:r>
      <w:r w:rsidR="0014383F">
        <w:t>ing</w:t>
      </w:r>
      <w:r w:rsidR="0014383F" w:rsidRPr="00033C62">
        <w:t xml:space="preserve"> </w:t>
      </w:r>
      <w:r w:rsidRPr="00033C62">
        <w:t>and other health service staff but importantly, of the patients, clients and wider public that we return to the independent NHS</w:t>
      </w:r>
      <w:r w:rsidR="00CE11C7">
        <w:t>PRB</w:t>
      </w:r>
      <w:r w:rsidRPr="00033C62">
        <w:t xml:space="preserve"> in respect of the 2016-2017 award. </w:t>
      </w:r>
    </w:p>
    <w:p w:rsidR="00987FA1" w:rsidRDefault="00987FA1" w:rsidP="00674DF8">
      <w:r w:rsidRPr="00033C62">
        <w:t>The RCN understands the many challenges and competing demands faced by the Minister, the DHSSPS and the Northern Ireland Executive. In light of these factor</w:t>
      </w:r>
      <w:r w:rsidR="00967DB5">
        <w:t>s</w:t>
      </w:r>
      <w:r w:rsidRPr="00033C62">
        <w:t>, we believe that the Minister’s stated commitment to seeking and implementing the recommendations of the NHS</w:t>
      </w:r>
      <w:r w:rsidR="00CE11C7">
        <w:t>PRB</w:t>
      </w:r>
      <w:r w:rsidRPr="00033C62">
        <w:t xml:space="preserve"> is the fairest and most sustainable way to determine pay</w:t>
      </w:r>
      <w:r w:rsidR="0014383F">
        <w:t xml:space="preserve"> for all nursing staff</w:t>
      </w:r>
      <w:r w:rsidRPr="00033C62">
        <w:t>.</w:t>
      </w:r>
    </w:p>
    <w:p w:rsidR="003C2657" w:rsidRDefault="003C2657" w:rsidP="00674DF8"/>
    <w:p w:rsidR="00F12C34" w:rsidRPr="00033C62" w:rsidRDefault="00F12C34" w:rsidP="00674DF8"/>
    <w:p w:rsidR="005324FD" w:rsidRPr="005324FD" w:rsidRDefault="00674DF8" w:rsidP="00674DF8">
      <w:pPr>
        <w:pStyle w:val="ListParagraph"/>
        <w:numPr>
          <w:ilvl w:val="0"/>
          <w:numId w:val="3"/>
        </w:numPr>
        <w:rPr>
          <w:b/>
          <w:sz w:val="24"/>
          <w:szCs w:val="24"/>
        </w:rPr>
      </w:pPr>
      <w:r>
        <w:rPr>
          <w:b/>
          <w:sz w:val="24"/>
          <w:szCs w:val="24"/>
        </w:rPr>
        <w:lastRenderedPageBreak/>
        <w:t>Pay and c</w:t>
      </w:r>
      <w:r w:rsidR="005324FD">
        <w:rPr>
          <w:b/>
          <w:sz w:val="24"/>
          <w:szCs w:val="24"/>
        </w:rPr>
        <w:t>onditions</w:t>
      </w:r>
    </w:p>
    <w:p w:rsidR="000F211C" w:rsidRPr="00541343" w:rsidRDefault="000F211C" w:rsidP="00674DF8">
      <w:r w:rsidRPr="00541343">
        <w:t xml:space="preserve">The impact of pay restraint over the past five years has resulted in a real terms decrease in pay for </w:t>
      </w:r>
      <w:r w:rsidR="00F12C34">
        <w:t>RCN members.</w:t>
      </w:r>
    </w:p>
    <w:p w:rsidR="00C875F5" w:rsidRDefault="00936C82" w:rsidP="00674DF8">
      <w:r>
        <w:t>The RCN has been making representations to the DHSSPS since 2013 about the failure to complete the implementation of Agenda for Change terms and conditions in Northern Ireland.  More than 11 years since commencement of implementation</w:t>
      </w:r>
      <w:r w:rsidR="000E31AF">
        <w:t>, a post-</w:t>
      </w:r>
      <w:r>
        <w:t xml:space="preserve">implementation pay audit has yet to commence. The Minister confirmed in response to an Assembly question </w:t>
      </w:r>
      <w:r w:rsidR="00674DF8">
        <w:t xml:space="preserve">(AQW 47886/11-15) </w:t>
      </w:r>
      <w:r>
        <w:t xml:space="preserve">that </w:t>
      </w:r>
      <w:r w:rsidR="00674DF8">
        <w:t>466</w:t>
      </w:r>
      <w:r>
        <w:t xml:space="preserve"> </w:t>
      </w:r>
      <w:r w:rsidR="00674DF8">
        <w:t>HSC staff</w:t>
      </w:r>
      <w:r>
        <w:t xml:space="preserve"> </w:t>
      </w:r>
      <w:proofErr w:type="gramStart"/>
      <w:r>
        <w:t>have</w:t>
      </w:r>
      <w:proofErr w:type="gramEnd"/>
      <w:r>
        <w:t xml:space="preserve"> yet to </w:t>
      </w:r>
      <w:r w:rsidR="00674DF8">
        <w:t>receive arrears in respect of Agenda for Change job evaluations</w:t>
      </w:r>
      <w:r>
        <w:t xml:space="preserve">. </w:t>
      </w:r>
    </w:p>
    <w:p w:rsidR="00541343" w:rsidRDefault="00936C82" w:rsidP="00674DF8">
      <w:r>
        <w:t xml:space="preserve">There is evidence that higher </w:t>
      </w:r>
      <w:r w:rsidR="00674DF8">
        <w:t>numbers of r</w:t>
      </w:r>
      <w:r>
        <w:t xml:space="preserve">egistered nurses are in </w:t>
      </w:r>
      <w:r w:rsidR="00674DF8">
        <w:t>pay band</w:t>
      </w:r>
      <w:r>
        <w:t xml:space="preserve"> </w:t>
      </w:r>
      <w:r w:rsidR="00674DF8">
        <w:t xml:space="preserve">5 </w:t>
      </w:r>
      <w:r>
        <w:t>than is the cases in the other countries of the UK.</w:t>
      </w:r>
    </w:p>
    <w:p w:rsidR="0014383F" w:rsidRDefault="0014383F" w:rsidP="00674DF8">
      <w:r>
        <w:t>Table 1: Agenda for Change distribution across England, Scotland and Northern Ireland</w:t>
      </w:r>
    </w:p>
    <w:tbl>
      <w:tblPr>
        <w:tblStyle w:val="TableGrid"/>
        <w:tblW w:w="0" w:type="auto"/>
        <w:tblLook w:val="04A0" w:firstRow="1" w:lastRow="0" w:firstColumn="1" w:lastColumn="0" w:noHBand="0" w:noVBand="1"/>
      </w:tblPr>
      <w:tblGrid>
        <w:gridCol w:w="2254"/>
        <w:gridCol w:w="2254"/>
        <w:gridCol w:w="2254"/>
        <w:gridCol w:w="2254"/>
      </w:tblGrid>
      <w:tr w:rsidR="00077B8D" w:rsidRPr="00077B8D" w:rsidTr="00077B8D">
        <w:tc>
          <w:tcPr>
            <w:tcW w:w="2254" w:type="dxa"/>
          </w:tcPr>
          <w:p w:rsidR="00077B8D" w:rsidRPr="00077B8D" w:rsidRDefault="00077B8D" w:rsidP="00674DF8">
            <w:pPr>
              <w:pStyle w:val="NoSpacing"/>
              <w:rPr>
                <w:rFonts w:ascii="Arial" w:hAnsi="Arial" w:cs="Arial"/>
              </w:rPr>
            </w:pPr>
          </w:p>
        </w:tc>
        <w:tc>
          <w:tcPr>
            <w:tcW w:w="2254" w:type="dxa"/>
          </w:tcPr>
          <w:p w:rsidR="00077B8D" w:rsidRPr="00077B8D" w:rsidRDefault="00077B8D" w:rsidP="00674DF8">
            <w:pPr>
              <w:pStyle w:val="NoSpacing"/>
              <w:rPr>
                <w:rFonts w:ascii="Arial" w:hAnsi="Arial" w:cs="Arial"/>
                <w:b/>
              </w:rPr>
            </w:pPr>
            <w:r w:rsidRPr="00077B8D">
              <w:rPr>
                <w:rFonts w:ascii="Arial" w:hAnsi="Arial" w:cs="Arial"/>
                <w:b/>
              </w:rPr>
              <w:t>England</w:t>
            </w:r>
          </w:p>
        </w:tc>
        <w:tc>
          <w:tcPr>
            <w:tcW w:w="2254" w:type="dxa"/>
          </w:tcPr>
          <w:p w:rsidR="00077B8D" w:rsidRPr="00077B8D" w:rsidRDefault="00077B8D" w:rsidP="00674DF8">
            <w:pPr>
              <w:pStyle w:val="NoSpacing"/>
              <w:rPr>
                <w:rFonts w:ascii="Arial" w:hAnsi="Arial" w:cs="Arial"/>
                <w:b/>
              </w:rPr>
            </w:pPr>
            <w:r w:rsidRPr="00077B8D">
              <w:rPr>
                <w:rFonts w:ascii="Arial" w:hAnsi="Arial" w:cs="Arial"/>
                <w:b/>
              </w:rPr>
              <w:t>Scotland</w:t>
            </w:r>
          </w:p>
        </w:tc>
        <w:tc>
          <w:tcPr>
            <w:tcW w:w="2254" w:type="dxa"/>
          </w:tcPr>
          <w:p w:rsidR="00077B8D" w:rsidRPr="00077B8D" w:rsidRDefault="00077B8D" w:rsidP="00674DF8">
            <w:pPr>
              <w:pStyle w:val="NoSpacing"/>
              <w:rPr>
                <w:rFonts w:ascii="Arial" w:hAnsi="Arial" w:cs="Arial"/>
                <w:b/>
              </w:rPr>
            </w:pPr>
            <w:r w:rsidRPr="00077B8D">
              <w:rPr>
                <w:rFonts w:ascii="Arial" w:hAnsi="Arial" w:cs="Arial"/>
                <w:b/>
              </w:rPr>
              <w:t>Northern Ireland</w:t>
            </w:r>
          </w:p>
        </w:tc>
      </w:tr>
      <w:tr w:rsidR="00077B8D" w:rsidRPr="00077B8D" w:rsidTr="00077B8D">
        <w:tc>
          <w:tcPr>
            <w:tcW w:w="2254" w:type="dxa"/>
          </w:tcPr>
          <w:p w:rsidR="00077B8D" w:rsidRPr="00077B8D" w:rsidRDefault="00077B8D" w:rsidP="00674DF8">
            <w:pPr>
              <w:pStyle w:val="NoSpacing"/>
              <w:rPr>
                <w:rFonts w:ascii="Arial" w:hAnsi="Arial" w:cs="Arial"/>
              </w:rPr>
            </w:pPr>
            <w:r w:rsidRPr="00077B8D">
              <w:rPr>
                <w:rFonts w:ascii="Arial" w:hAnsi="Arial" w:cs="Arial"/>
              </w:rPr>
              <w:t>Band 5</w:t>
            </w:r>
          </w:p>
        </w:tc>
        <w:tc>
          <w:tcPr>
            <w:tcW w:w="2254" w:type="dxa"/>
          </w:tcPr>
          <w:p w:rsidR="00077B8D" w:rsidRPr="00077B8D" w:rsidRDefault="00077B8D" w:rsidP="00674DF8">
            <w:pPr>
              <w:pStyle w:val="NoSpacing"/>
              <w:rPr>
                <w:rFonts w:ascii="Arial" w:hAnsi="Arial" w:cs="Arial"/>
              </w:rPr>
            </w:pPr>
            <w:r>
              <w:rPr>
                <w:rFonts w:ascii="Arial" w:hAnsi="Arial" w:cs="Arial"/>
              </w:rPr>
              <w:t>47.1%</w:t>
            </w:r>
          </w:p>
        </w:tc>
        <w:tc>
          <w:tcPr>
            <w:tcW w:w="2254" w:type="dxa"/>
          </w:tcPr>
          <w:p w:rsidR="00077B8D" w:rsidRPr="00077B8D" w:rsidRDefault="00077B8D" w:rsidP="00674DF8">
            <w:pPr>
              <w:pStyle w:val="NoSpacing"/>
              <w:rPr>
                <w:rFonts w:ascii="Arial" w:hAnsi="Arial" w:cs="Arial"/>
              </w:rPr>
            </w:pPr>
            <w:r>
              <w:rPr>
                <w:rFonts w:ascii="Arial" w:hAnsi="Arial" w:cs="Arial"/>
              </w:rPr>
              <w:t>56.4%</w:t>
            </w:r>
          </w:p>
        </w:tc>
        <w:tc>
          <w:tcPr>
            <w:tcW w:w="2254" w:type="dxa"/>
          </w:tcPr>
          <w:p w:rsidR="00077B8D" w:rsidRPr="00077B8D" w:rsidRDefault="00077B8D" w:rsidP="00674DF8">
            <w:pPr>
              <w:pStyle w:val="NoSpacing"/>
              <w:rPr>
                <w:rFonts w:ascii="Arial" w:hAnsi="Arial" w:cs="Arial"/>
              </w:rPr>
            </w:pPr>
            <w:r>
              <w:rPr>
                <w:rFonts w:ascii="Arial" w:hAnsi="Arial" w:cs="Arial"/>
              </w:rPr>
              <w:t>58.6%</w:t>
            </w:r>
          </w:p>
        </w:tc>
      </w:tr>
      <w:tr w:rsidR="00077B8D" w:rsidRPr="00077B8D" w:rsidTr="00077B8D">
        <w:tc>
          <w:tcPr>
            <w:tcW w:w="2254" w:type="dxa"/>
          </w:tcPr>
          <w:p w:rsidR="00077B8D" w:rsidRPr="00077B8D" w:rsidRDefault="00077B8D" w:rsidP="00674DF8">
            <w:pPr>
              <w:pStyle w:val="NoSpacing"/>
              <w:rPr>
                <w:rFonts w:ascii="Arial" w:hAnsi="Arial" w:cs="Arial"/>
              </w:rPr>
            </w:pPr>
            <w:r w:rsidRPr="00077B8D">
              <w:rPr>
                <w:rFonts w:ascii="Arial" w:hAnsi="Arial" w:cs="Arial"/>
              </w:rPr>
              <w:t>Band 6</w:t>
            </w:r>
          </w:p>
        </w:tc>
        <w:tc>
          <w:tcPr>
            <w:tcW w:w="2254" w:type="dxa"/>
          </w:tcPr>
          <w:p w:rsidR="00077B8D" w:rsidRPr="00077B8D" w:rsidRDefault="00077B8D" w:rsidP="00674DF8">
            <w:pPr>
              <w:pStyle w:val="NoSpacing"/>
              <w:rPr>
                <w:rFonts w:ascii="Arial" w:hAnsi="Arial" w:cs="Arial"/>
              </w:rPr>
            </w:pPr>
            <w:r>
              <w:rPr>
                <w:rFonts w:ascii="Arial" w:hAnsi="Arial" w:cs="Arial"/>
              </w:rPr>
              <w:t>31.9%</w:t>
            </w:r>
          </w:p>
        </w:tc>
        <w:tc>
          <w:tcPr>
            <w:tcW w:w="2254" w:type="dxa"/>
          </w:tcPr>
          <w:p w:rsidR="00077B8D" w:rsidRPr="00077B8D" w:rsidRDefault="00077B8D" w:rsidP="00674DF8">
            <w:pPr>
              <w:pStyle w:val="NoSpacing"/>
              <w:rPr>
                <w:rFonts w:ascii="Arial" w:hAnsi="Arial" w:cs="Arial"/>
              </w:rPr>
            </w:pPr>
            <w:r>
              <w:rPr>
                <w:rFonts w:ascii="Arial" w:hAnsi="Arial" w:cs="Arial"/>
              </w:rPr>
              <w:t>27.6%</w:t>
            </w:r>
          </w:p>
        </w:tc>
        <w:tc>
          <w:tcPr>
            <w:tcW w:w="2254" w:type="dxa"/>
          </w:tcPr>
          <w:p w:rsidR="00077B8D" w:rsidRPr="00077B8D" w:rsidRDefault="00077B8D" w:rsidP="00674DF8">
            <w:pPr>
              <w:pStyle w:val="NoSpacing"/>
              <w:rPr>
                <w:rFonts w:ascii="Arial" w:hAnsi="Arial" w:cs="Arial"/>
              </w:rPr>
            </w:pPr>
            <w:r>
              <w:rPr>
                <w:rFonts w:ascii="Arial" w:hAnsi="Arial" w:cs="Arial"/>
              </w:rPr>
              <w:t>25.8%</w:t>
            </w:r>
          </w:p>
        </w:tc>
      </w:tr>
      <w:tr w:rsidR="00077B8D" w:rsidRPr="00077B8D" w:rsidTr="00077B8D">
        <w:tc>
          <w:tcPr>
            <w:tcW w:w="2254" w:type="dxa"/>
          </w:tcPr>
          <w:p w:rsidR="00077B8D" w:rsidRPr="00077B8D" w:rsidRDefault="00077B8D" w:rsidP="00674DF8">
            <w:pPr>
              <w:pStyle w:val="NoSpacing"/>
              <w:rPr>
                <w:rFonts w:ascii="Arial" w:hAnsi="Arial" w:cs="Arial"/>
              </w:rPr>
            </w:pPr>
            <w:r w:rsidRPr="00077B8D">
              <w:rPr>
                <w:rFonts w:ascii="Arial" w:hAnsi="Arial" w:cs="Arial"/>
              </w:rPr>
              <w:t>Band 7</w:t>
            </w:r>
          </w:p>
        </w:tc>
        <w:tc>
          <w:tcPr>
            <w:tcW w:w="2254" w:type="dxa"/>
          </w:tcPr>
          <w:p w:rsidR="00077B8D" w:rsidRPr="00077B8D" w:rsidRDefault="00077B8D" w:rsidP="00674DF8">
            <w:pPr>
              <w:pStyle w:val="NoSpacing"/>
              <w:rPr>
                <w:rFonts w:ascii="Arial" w:hAnsi="Arial" w:cs="Arial"/>
              </w:rPr>
            </w:pPr>
            <w:r>
              <w:rPr>
                <w:rFonts w:ascii="Arial" w:hAnsi="Arial" w:cs="Arial"/>
              </w:rPr>
              <w:t>16.5%</w:t>
            </w:r>
          </w:p>
        </w:tc>
        <w:tc>
          <w:tcPr>
            <w:tcW w:w="2254" w:type="dxa"/>
          </w:tcPr>
          <w:p w:rsidR="00077B8D" w:rsidRPr="00077B8D" w:rsidRDefault="00077B8D" w:rsidP="00674DF8">
            <w:pPr>
              <w:pStyle w:val="NoSpacing"/>
              <w:rPr>
                <w:rFonts w:ascii="Arial" w:hAnsi="Arial" w:cs="Arial"/>
              </w:rPr>
            </w:pPr>
            <w:r>
              <w:rPr>
                <w:rFonts w:ascii="Arial" w:hAnsi="Arial" w:cs="Arial"/>
              </w:rPr>
              <w:t>13.3%</w:t>
            </w:r>
          </w:p>
        </w:tc>
        <w:tc>
          <w:tcPr>
            <w:tcW w:w="2254" w:type="dxa"/>
          </w:tcPr>
          <w:p w:rsidR="00077B8D" w:rsidRPr="00077B8D" w:rsidRDefault="00077B8D" w:rsidP="00674DF8">
            <w:pPr>
              <w:pStyle w:val="NoSpacing"/>
              <w:rPr>
                <w:rFonts w:ascii="Arial" w:hAnsi="Arial" w:cs="Arial"/>
              </w:rPr>
            </w:pPr>
            <w:r>
              <w:rPr>
                <w:rFonts w:ascii="Arial" w:hAnsi="Arial" w:cs="Arial"/>
              </w:rPr>
              <w:t>13.4%</w:t>
            </w:r>
          </w:p>
        </w:tc>
      </w:tr>
      <w:tr w:rsidR="00077B8D" w:rsidRPr="00077B8D" w:rsidTr="00077B8D">
        <w:tc>
          <w:tcPr>
            <w:tcW w:w="2254" w:type="dxa"/>
          </w:tcPr>
          <w:p w:rsidR="00077B8D" w:rsidRPr="00077B8D" w:rsidRDefault="00077B8D" w:rsidP="00674DF8">
            <w:pPr>
              <w:pStyle w:val="NoSpacing"/>
              <w:rPr>
                <w:rFonts w:ascii="Arial" w:hAnsi="Arial" w:cs="Arial"/>
              </w:rPr>
            </w:pPr>
            <w:r w:rsidRPr="00077B8D">
              <w:rPr>
                <w:rFonts w:ascii="Arial" w:hAnsi="Arial" w:cs="Arial"/>
              </w:rPr>
              <w:t>Bands 8-9</w:t>
            </w:r>
          </w:p>
        </w:tc>
        <w:tc>
          <w:tcPr>
            <w:tcW w:w="2254" w:type="dxa"/>
          </w:tcPr>
          <w:p w:rsidR="00077B8D" w:rsidRPr="00077B8D" w:rsidRDefault="00077B8D" w:rsidP="00674DF8">
            <w:pPr>
              <w:pStyle w:val="NoSpacing"/>
              <w:rPr>
                <w:rFonts w:ascii="Arial" w:hAnsi="Arial" w:cs="Arial"/>
              </w:rPr>
            </w:pPr>
            <w:r>
              <w:rPr>
                <w:rFonts w:ascii="Arial" w:hAnsi="Arial" w:cs="Arial"/>
              </w:rPr>
              <w:t>4.5%</w:t>
            </w:r>
          </w:p>
        </w:tc>
        <w:tc>
          <w:tcPr>
            <w:tcW w:w="2254" w:type="dxa"/>
          </w:tcPr>
          <w:p w:rsidR="00077B8D" w:rsidRPr="00077B8D" w:rsidRDefault="00077B8D" w:rsidP="00674DF8">
            <w:pPr>
              <w:pStyle w:val="NoSpacing"/>
              <w:rPr>
                <w:rFonts w:ascii="Arial" w:hAnsi="Arial" w:cs="Arial"/>
              </w:rPr>
            </w:pPr>
            <w:r>
              <w:rPr>
                <w:rFonts w:ascii="Arial" w:hAnsi="Arial" w:cs="Arial"/>
              </w:rPr>
              <w:t>2.7%</w:t>
            </w:r>
          </w:p>
        </w:tc>
        <w:tc>
          <w:tcPr>
            <w:tcW w:w="2254" w:type="dxa"/>
          </w:tcPr>
          <w:p w:rsidR="00077B8D" w:rsidRPr="00077B8D" w:rsidRDefault="00077B8D" w:rsidP="00674DF8">
            <w:pPr>
              <w:pStyle w:val="NoSpacing"/>
              <w:rPr>
                <w:rFonts w:ascii="Arial" w:hAnsi="Arial" w:cs="Arial"/>
              </w:rPr>
            </w:pPr>
            <w:r>
              <w:rPr>
                <w:rFonts w:ascii="Arial" w:hAnsi="Arial" w:cs="Arial"/>
              </w:rPr>
              <w:t>2.2%</w:t>
            </w:r>
          </w:p>
        </w:tc>
      </w:tr>
    </w:tbl>
    <w:p w:rsidR="00077B8D" w:rsidRPr="002B4889" w:rsidRDefault="00077B8D" w:rsidP="00674DF8"/>
    <w:p w:rsidR="00541343" w:rsidRPr="002B4889" w:rsidRDefault="00541343" w:rsidP="00674DF8">
      <w:r w:rsidRPr="002B4889">
        <w:t>The RCN is also opposed to continuing pay restraint in the NHS and ha</w:t>
      </w:r>
      <w:r w:rsidR="00674DF8">
        <w:t>s</w:t>
      </w:r>
      <w:r w:rsidRPr="002B4889">
        <w:t xml:space="preserve"> gra</w:t>
      </w:r>
      <w:r w:rsidR="00674DF8">
        <w:t xml:space="preserve">ve concerns about the impact </w:t>
      </w:r>
      <w:r w:rsidRPr="002B4889">
        <w:t>consistent below-inflation</w:t>
      </w:r>
      <w:r w:rsidR="00674DF8">
        <w:t xml:space="preserve"> pay awards</w:t>
      </w:r>
      <w:r w:rsidRPr="002B4889">
        <w:t xml:space="preserve"> is having on the workforce and on the service.  </w:t>
      </w:r>
    </w:p>
    <w:p w:rsidR="00541343" w:rsidRPr="002B4889" w:rsidRDefault="00541343" w:rsidP="00674DF8">
      <w:r w:rsidRPr="002B4889">
        <w:t xml:space="preserve">The Institute for Fiscal Studies has </w:t>
      </w:r>
      <w:r w:rsidR="00674DF8">
        <w:t>provided the following warning: “</w:t>
      </w:r>
      <w:r w:rsidRPr="002B4889">
        <w:t>The government’s spending plans imply that public sector pay will fall to its lowest level relative to the privat</w:t>
      </w:r>
      <w:r>
        <w:t xml:space="preserve">e sector since at least the </w:t>
      </w:r>
      <w:r w:rsidR="00D95B70">
        <w:t>mid-</w:t>
      </w:r>
      <w:r w:rsidR="00D95B70" w:rsidRPr="002B4889">
        <w:t>1990s</w:t>
      </w:r>
      <w:r w:rsidRPr="002B4889">
        <w:t>, when comparable data are available. This could result in difficulties for public sector employers trying to recruit and retain high-quality, motivated workers and raises the possibility of (furthe</w:t>
      </w:r>
      <w:r w:rsidR="00747864">
        <w:t>r) industrial relations issues.”</w:t>
      </w:r>
      <w:r w:rsidR="001A3CE8">
        <w:rPr>
          <w:rStyle w:val="FootnoteReference"/>
        </w:rPr>
        <w:footnoteReference w:id="1"/>
      </w:r>
    </w:p>
    <w:p w:rsidR="00B96CD5" w:rsidRDefault="00B96CD5" w:rsidP="00674DF8">
      <w:pPr>
        <w:autoSpaceDE w:val="0"/>
        <w:autoSpaceDN w:val="0"/>
        <w:adjustRightInd w:val="0"/>
        <w:spacing w:after="0" w:line="240" w:lineRule="auto"/>
      </w:pPr>
    </w:p>
    <w:p w:rsidR="002D713A" w:rsidRPr="005324FD" w:rsidRDefault="002D713A" w:rsidP="00674DF8">
      <w:pPr>
        <w:pStyle w:val="ListParagraph"/>
        <w:numPr>
          <w:ilvl w:val="0"/>
          <w:numId w:val="3"/>
        </w:numPr>
        <w:rPr>
          <w:b/>
          <w:sz w:val="24"/>
          <w:szCs w:val="24"/>
        </w:rPr>
      </w:pPr>
      <w:r w:rsidRPr="005324FD">
        <w:rPr>
          <w:b/>
          <w:sz w:val="24"/>
          <w:szCs w:val="24"/>
        </w:rPr>
        <w:t xml:space="preserve">Pay </w:t>
      </w:r>
      <w:r w:rsidR="00674DF8">
        <w:rPr>
          <w:b/>
          <w:sz w:val="24"/>
          <w:szCs w:val="24"/>
        </w:rPr>
        <w:t>settlements and average e</w:t>
      </w:r>
      <w:r w:rsidRPr="005324FD">
        <w:rPr>
          <w:b/>
          <w:sz w:val="24"/>
          <w:szCs w:val="24"/>
        </w:rPr>
        <w:t>arnings</w:t>
      </w:r>
    </w:p>
    <w:p w:rsidR="002D713A" w:rsidRDefault="00674DF8" w:rsidP="00674DF8">
      <w:r>
        <w:t>All the available data show</w:t>
      </w:r>
      <w:r w:rsidR="00541343">
        <w:t xml:space="preserve"> that </w:t>
      </w:r>
      <w:r w:rsidR="00747864">
        <w:t xml:space="preserve">growth in </w:t>
      </w:r>
      <w:r w:rsidR="00541343">
        <w:t xml:space="preserve">both pay settlements and earnings are returning to </w:t>
      </w:r>
      <w:r>
        <w:t xml:space="preserve">the private sector.  </w:t>
      </w:r>
      <w:r w:rsidR="00541343">
        <w:t xml:space="preserve">For instance, </w:t>
      </w:r>
      <w:r w:rsidR="00C90CEE">
        <w:t>the Labour Research D</w:t>
      </w:r>
      <w:r w:rsidR="00541343">
        <w:t>epartment reports that p</w:t>
      </w:r>
      <w:r w:rsidR="002D713A" w:rsidRPr="00770825">
        <w:t xml:space="preserve">ay settlements across the </w:t>
      </w:r>
      <w:r w:rsidR="002D713A">
        <w:t xml:space="preserve">UK </w:t>
      </w:r>
      <w:r w:rsidR="002D713A" w:rsidRPr="00770825">
        <w:t xml:space="preserve">economy </w:t>
      </w:r>
      <w:r w:rsidR="002D713A">
        <w:t xml:space="preserve">ran </w:t>
      </w:r>
      <w:r w:rsidR="002D713A" w:rsidRPr="00770825">
        <w:t xml:space="preserve">at between 2% and 2.5% </w:t>
      </w:r>
      <w:r w:rsidR="002D713A">
        <w:t xml:space="preserve">during 2015, with a median increase of 2.5% </w:t>
      </w:r>
      <w:r w:rsidR="00C90CEE">
        <w:t>in the three months to December.</w:t>
      </w:r>
    </w:p>
    <w:p w:rsidR="002D713A" w:rsidRPr="00CB0B1A" w:rsidRDefault="002D713A" w:rsidP="00674DF8">
      <w:r w:rsidRPr="00CB0B1A">
        <w:t xml:space="preserve">The graph below shows </w:t>
      </w:r>
      <w:proofErr w:type="gramStart"/>
      <w:r w:rsidRPr="00CB0B1A">
        <w:t>three month</w:t>
      </w:r>
      <w:proofErr w:type="gramEnd"/>
      <w:r w:rsidRPr="00CB0B1A">
        <w:t xml:space="preserve"> trends in average earnings growth over the last two years. Since April 2013, private sector earnings growth has been running ahead of the public sector every month except two. Over recent months, the private sector rate has accelerated sharply while the public sector rate has flattened out. In </w:t>
      </w:r>
      <w:r w:rsidR="00244C89" w:rsidRPr="00CB0B1A">
        <w:t xml:space="preserve">November </w:t>
      </w:r>
      <w:r w:rsidRPr="00CB0B1A">
        <w:t xml:space="preserve">2015, the </w:t>
      </w:r>
      <w:r w:rsidR="00244C89" w:rsidRPr="00CB0B1A">
        <w:t xml:space="preserve">provisional </w:t>
      </w:r>
      <w:r w:rsidRPr="00CB0B1A">
        <w:t xml:space="preserve">rate </w:t>
      </w:r>
      <w:r w:rsidRPr="00CB0B1A">
        <w:lastRenderedPageBreak/>
        <w:t xml:space="preserve">across the whole </w:t>
      </w:r>
      <w:r w:rsidR="00244C89" w:rsidRPr="00CB0B1A">
        <w:t>economy was 2</w:t>
      </w:r>
      <w:r w:rsidRPr="00CB0B1A">
        <w:t>%, private sector growth was 2.</w:t>
      </w:r>
      <w:r w:rsidR="00244C89" w:rsidRPr="00CB0B1A">
        <w:t>2</w:t>
      </w:r>
      <w:r w:rsidRPr="00CB0B1A">
        <w:t>% and average public sector earnings rose by</w:t>
      </w:r>
      <w:r w:rsidR="00244C89" w:rsidRPr="00CB0B1A">
        <w:t xml:space="preserve"> just </w:t>
      </w:r>
      <w:r w:rsidRPr="00CB0B1A">
        <w:t>1.</w:t>
      </w:r>
      <w:r w:rsidR="00244C89" w:rsidRPr="00CB0B1A">
        <w:t>5</w:t>
      </w:r>
      <w:r w:rsidRPr="00CB0B1A">
        <w:t>%.</w:t>
      </w:r>
      <w:r w:rsidR="005E45FE" w:rsidRPr="00CB0B1A">
        <w:t xml:space="preserve">  </w:t>
      </w:r>
    </w:p>
    <w:p w:rsidR="005E45FE" w:rsidRPr="000F211C" w:rsidRDefault="005E45FE" w:rsidP="00674DF8">
      <w:r w:rsidRPr="000F211C">
        <w:t>The Office for Budge</w:t>
      </w:r>
      <w:r w:rsidR="004F2255" w:rsidRPr="000F211C">
        <w:t>t Responsibility’s latest forecast is for prices, as measured by the CPI, to increase by 7.2% over the next four years, while it expects average earnings to grow (in nominal terms) b</w:t>
      </w:r>
      <w:r w:rsidR="00747864">
        <w:t>y 15.4% over the same period. The IFS has stated that “T</w:t>
      </w:r>
      <w:r w:rsidR="004F2255" w:rsidRPr="000F211C">
        <w:t>he government’s announced 1% limit on annual pay increases for a further four years from 2016</w:t>
      </w:r>
      <w:r w:rsidR="00747864">
        <w:t>-20</w:t>
      </w:r>
      <w:r w:rsidR="004F2255" w:rsidRPr="000F211C">
        <w:t>17 is therefore expected to reduce wages in the public sector to their lowest level relative to private sector wages since at least the 1990s</w:t>
      </w:r>
      <w:r w:rsidR="00747864">
        <w:t>”.</w:t>
      </w:r>
    </w:p>
    <w:p w:rsidR="00F12C34" w:rsidRDefault="00821DA5" w:rsidP="00674DF8">
      <w:pPr>
        <w:spacing w:after="0" w:line="269" w:lineRule="auto"/>
      </w:pPr>
      <w:r>
        <w:t>The IFS goes on to state that t</w:t>
      </w:r>
      <w:r w:rsidR="004F2255" w:rsidRPr="000F211C">
        <w:t xml:space="preserve">he </w:t>
      </w:r>
      <w:r w:rsidR="00747864">
        <w:t>“</w:t>
      </w:r>
      <w:r w:rsidR="004F2255" w:rsidRPr="000F211C">
        <w:t>restraint on public sector pay in 2016</w:t>
      </w:r>
      <w:r w:rsidR="00747864">
        <w:t>-20</w:t>
      </w:r>
      <w:r w:rsidR="004F2255" w:rsidRPr="000F211C">
        <w:t>17 is likely to be felt particularly strongly. From 2016</w:t>
      </w:r>
      <w:r w:rsidR="00747864">
        <w:t>-20</w:t>
      </w:r>
      <w:r w:rsidR="004F2255" w:rsidRPr="000F211C">
        <w:t>17 it will no longer be possible for those with [public sector] pensions to contract out of part of the state pension by paying lower Na</w:t>
      </w:r>
      <w:r w:rsidR="00747864">
        <w:t>tional Insurance contributions [</w:t>
      </w:r>
      <w:r w:rsidR="004F2255" w:rsidRPr="000F211C">
        <w:t>NICs</w:t>
      </w:r>
      <w:r w:rsidR="00747864">
        <w:t>]</w:t>
      </w:r>
      <w:r w:rsidR="004F2255" w:rsidRPr="000F211C">
        <w:t>. This means that employees will have to pay 1.4% more National Insurance on all earnings.</w:t>
      </w:r>
      <w:r w:rsidR="00F12C34">
        <w:t>”</w:t>
      </w:r>
    </w:p>
    <w:p w:rsidR="00F12C34" w:rsidRDefault="00F12C34" w:rsidP="00674DF8">
      <w:pPr>
        <w:spacing w:after="0" w:line="269" w:lineRule="auto"/>
      </w:pPr>
    </w:p>
    <w:p w:rsidR="002D713A" w:rsidRPr="00770825" w:rsidRDefault="00244C89" w:rsidP="00674DF8">
      <w:pPr>
        <w:spacing w:after="0" w:line="269" w:lineRule="auto"/>
        <w:rPr>
          <w:noProof/>
          <w:lang w:eastAsia="en-GB"/>
        </w:rPr>
      </w:pPr>
      <w:r>
        <w:rPr>
          <w:noProof/>
          <w:lang w:val="en-US"/>
        </w:rPr>
        <w:drawing>
          <wp:inline distT="0" distB="0" distL="0" distR="0" wp14:anchorId="3C3BE3B1" wp14:editId="609ACEBF">
            <wp:extent cx="5731510" cy="3336290"/>
            <wp:effectExtent l="0" t="0" r="254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713A" w:rsidRDefault="002D713A" w:rsidP="00674DF8">
      <w:pPr>
        <w:spacing w:after="0" w:line="269" w:lineRule="auto"/>
        <w:rPr>
          <w:i/>
          <w:noProof/>
          <w:sz w:val="20"/>
          <w:szCs w:val="20"/>
          <w:lang w:eastAsia="en-GB"/>
        </w:rPr>
      </w:pPr>
      <w:r w:rsidRPr="000F211C">
        <w:rPr>
          <w:i/>
          <w:noProof/>
          <w:sz w:val="20"/>
          <w:szCs w:val="20"/>
          <w:lang w:eastAsia="en-GB"/>
        </w:rPr>
        <w:t xml:space="preserve">Source: Office of National Statistics, Labour Market Statistics, </w:t>
      </w:r>
      <w:r w:rsidR="00244C89" w:rsidRPr="000F211C">
        <w:rPr>
          <w:i/>
          <w:noProof/>
          <w:sz w:val="20"/>
          <w:szCs w:val="20"/>
          <w:lang w:eastAsia="en-GB"/>
        </w:rPr>
        <w:t>January 2016</w:t>
      </w:r>
      <w:r w:rsidRPr="000F211C">
        <w:rPr>
          <w:i/>
          <w:noProof/>
          <w:sz w:val="20"/>
          <w:szCs w:val="20"/>
          <w:lang w:eastAsia="en-GB"/>
        </w:rPr>
        <w:t xml:space="preserve"> </w:t>
      </w:r>
    </w:p>
    <w:p w:rsidR="00AD76C9" w:rsidRDefault="00AD76C9" w:rsidP="00674DF8">
      <w:pPr>
        <w:spacing w:after="0" w:line="269" w:lineRule="auto"/>
        <w:rPr>
          <w:i/>
          <w:noProof/>
          <w:sz w:val="20"/>
          <w:szCs w:val="20"/>
          <w:lang w:eastAsia="en-GB"/>
        </w:rPr>
      </w:pPr>
    </w:p>
    <w:p w:rsidR="00AD76C9" w:rsidRPr="003C2657" w:rsidRDefault="00747864" w:rsidP="00674DF8">
      <w:r>
        <w:t>The RCN e</w:t>
      </w:r>
      <w:r w:rsidR="00C738E2" w:rsidRPr="00541343">
        <w:t>vidence to the 2016-</w:t>
      </w:r>
      <w:r>
        <w:t>20</w:t>
      </w:r>
      <w:r w:rsidR="00C738E2" w:rsidRPr="00541343">
        <w:t>17 pay round highlighted the real terms loss in earnings experienced by nursing staff since 2010, due to the failure of pay awards to keep up with the cost of living. The c</w:t>
      </w:r>
      <w:r w:rsidR="00AD76C9" w:rsidRPr="00541343">
        <w:t>hart</w:t>
      </w:r>
      <w:r w:rsidR="00C738E2" w:rsidRPr="00541343">
        <w:t>s</w:t>
      </w:r>
      <w:r w:rsidR="00357932" w:rsidRPr="00541343">
        <w:t xml:space="preserve"> below show the added impact of Northern Ireland NHS salaries falling behind the rest of </w:t>
      </w:r>
      <w:r>
        <w:t>the UK</w:t>
      </w:r>
      <w:r w:rsidR="00357932" w:rsidRPr="00541343">
        <w:t xml:space="preserve">. The two charts show </w:t>
      </w:r>
      <w:r w:rsidR="00AD76C9" w:rsidRPr="00541343">
        <w:t>the differences in salary at the bottom and top points of each Agency for Change pay band</w:t>
      </w:r>
      <w:r>
        <w:t>,</w:t>
      </w:r>
      <w:r w:rsidR="00AD76C9" w:rsidRPr="00541343">
        <w:t xml:space="preserve"> </w:t>
      </w:r>
      <w:r w:rsidR="00C738E2" w:rsidRPr="00541343">
        <w:t xml:space="preserve">firstly in in cash </w:t>
      </w:r>
      <w:r w:rsidR="00357932" w:rsidRPr="00541343">
        <w:t>terms</w:t>
      </w:r>
      <w:r>
        <w:t>,</w:t>
      </w:r>
      <w:r w:rsidR="00357932" w:rsidRPr="00541343">
        <w:t xml:space="preserve"> then in </w:t>
      </w:r>
      <w:r w:rsidR="00357932" w:rsidRPr="003C2657">
        <w:t>percentage terms, looking at the differences between sal</w:t>
      </w:r>
      <w:r w:rsidRPr="003C2657">
        <w:t xml:space="preserve">aries in England and Scotland. </w:t>
      </w:r>
      <w:r w:rsidR="00357932" w:rsidRPr="003C2657">
        <w:t xml:space="preserve">The charts show that a health care assistant at the bottom of </w:t>
      </w:r>
      <w:r w:rsidRPr="003C2657">
        <w:t>b</w:t>
      </w:r>
      <w:r w:rsidR="00DA5E64">
        <w:t>and 2</w:t>
      </w:r>
      <w:r w:rsidR="00357932" w:rsidRPr="003C2657">
        <w:t xml:space="preserve"> working in </w:t>
      </w:r>
      <w:r w:rsidR="00DA5E64">
        <w:t>Northern Ireland is earning £806</w:t>
      </w:r>
      <w:r w:rsidR="00357932" w:rsidRPr="003C2657">
        <w:t xml:space="preserve"> less than a similar colleague in England</w:t>
      </w:r>
      <w:r w:rsidR="003C2657">
        <w:t>, which is</w:t>
      </w:r>
      <w:r w:rsidR="00DA5E64">
        <w:t xml:space="preserve"> 5.6</w:t>
      </w:r>
      <w:r w:rsidRPr="003C2657">
        <w:t xml:space="preserve"> %</w:t>
      </w:r>
      <w:r w:rsidR="00DA5E64">
        <w:t xml:space="preserve"> less</w:t>
      </w:r>
      <w:r w:rsidRPr="003C2657">
        <w:t xml:space="preserve">. </w:t>
      </w:r>
      <w:r w:rsidR="00DA5E64">
        <w:t>The difference rises to £1,064 or 7.4</w:t>
      </w:r>
      <w:r w:rsidR="00357932" w:rsidRPr="003C2657">
        <w:t xml:space="preserve">% </w:t>
      </w:r>
      <w:r w:rsidR="003C2657">
        <w:t xml:space="preserve">in </w:t>
      </w:r>
      <w:r w:rsidR="00357932" w:rsidRPr="003C2657">
        <w:t>comparison with Scotland.</w:t>
      </w:r>
    </w:p>
    <w:p w:rsidR="00AD76C9" w:rsidRDefault="00C738E2" w:rsidP="00674DF8">
      <w:pPr>
        <w:spacing w:after="0" w:line="269" w:lineRule="auto"/>
        <w:rPr>
          <w:i/>
          <w:noProof/>
          <w:sz w:val="20"/>
          <w:szCs w:val="20"/>
          <w:lang w:eastAsia="en-GB"/>
        </w:rPr>
      </w:pPr>
      <w:bookmarkStart w:id="0" w:name="_GoBack"/>
      <w:r>
        <w:rPr>
          <w:noProof/>
          <w:lang w:val="en-US"/>
        </w:rPr>
        <w:lastRenderedPageBreak/>
        <w:drawing>
          <wp:inline distT="0" distB="0" distL="0" distR="0" wp14:anchorId="2DFA603C" wp14:editId="794AB862">
            <wp:extent cx="5417244" cy="2743200"/>
            <wp:effectExtent l="0" t="0" r="1206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rsidR="0014383F" w:rsidRDefault="0014383F" w:rsidP="00674DF8">
      <w:pPr>
        <w:spacing w:after="0" w:line="269" w:lineRule="auto"/>
        <w:rPr>
          <w:noProof/>
        </w:rPr>
      </w:pPr>
    </w:p>
    <w:p w:rsidR="00774A49" w:rsidRDefault="00774A49" w:rsidP="00674DF8">
      <w:pPr>
        <w:spacing w:after="0" w:line="269" w:lineRule="auto"/>
        <w:rPr>
          <w:noProof/>
        </w:rPr>
      </w:pPr>
    </w:p>
    <w:p w:rsidR="00774A49" w:rsidRDefault="00774A49" w:rsidP="00674DF8">
      <w:pPr>
        <w:spacing w:after="0" w:line="269" w:lineRule="auto"/>
        <w:rPr>
          <w:noProof/>
        </w:rPr>
      </w:pPr>
    </w:p>
    <w:p w:rsidR="002D713A" w:rsidRDefault="00C738E2" w:rsidP="00674DF8">
      <w:pPr>
        <w:spacing w:after="0" w:line="269" w:lineRule="auto"/>
        <w:rPr>
          <w:noProof/>
        </w:rPr>
      </w:pPr>
      <w:r>
        <w:rPr>
          <w:noProof/>
          <w:lang w:val="en-US"/>
        </w:rPr>
        <w:drawing>
          <wp:inline distT="0" distB="0" distL="0" distR="0" wp14:anchorId="42907898" wp14:editId="3B6F35C3">
            <wp:extent cx="5342282" cy="3164784"/>
            <wp:effectExtent l="0" t="0" r="10795" b="171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5915" w:rsidRDefault="00095915"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095915" w:rsidRDefault="00095915" w:rsidP="00674DF8">
      <w:r>
        <w:t xml:space="preserve">The chart below shows that earnings represent the majority of household income for 59% </w:t>
      </w:r>
      <w:r w:rsidR="001A3CE8">
        <w:t>o</w:t>
      </w:r>
      <w:r>
        <w:t xml:space="preserve">f Northern Ireland HSC nursing respondents to the RCN 2015 </w:t>
      </w:r>
      <w:r w:rsidR="00241BBB">
        <w:t>Employment S</w:t>
      </w:r>
      <w:r>
        <w:t xml:space="preserve">urvey, meaning they are the main </w:t>
      </w:r>
      <w:proofErr w:type="gramStart"/>
      <w:r>
        <w:t>b</w:t>
      </w:r>
      <w:r w:rsidR="00747864">
        <w:t>readwinner</w:t>
      </w:r>
      <w:proofErr w:type="gramEnd"/>
      <w:r w:rsidR="00747864">
        <w:t xml:space="preserve"> in their household. </w:t>
      </w:r>
      <w:r w:rsidR="00241BBB">
        <w:t>In addition, over two</w:t>
      </w:r>
      <w:r w:rsidR="00747864">
        <w:t>-</w:t>
      </w:r>
      <w:r w:rsidR="00241BBB">
        <w:t>thirds (68%) of respondents stated that they felt worse off financ</w:t>
      </w:r>
      <w:r w:rsidR="00747864">
        <w:t>i</w:t>
      </w:r>
      <w:r w:rsidR="00241BBB">
        <w:t xml:space="preserve">ally than five years ago, while just 23% said they felt the same. </w:t>
      </w:r>
    </w:p>
    <w:p w:rsidR="00CB0B1A" w:rsidRDefault="00CB0B1A" w:rsidP="00674DF8">
      <w:pPr>
        <w:autoSpaceDE w:val="0"/>
        <w:autoSpaceDN w:val="0"/>
        <w:adjustRightInd w:val="0"/>
        <w:spacing w:after="0" w:line="240" w:lineRule="auto"/>
      </w:pPr>
    </w:p>
    <w:p w:rsidR="00095915" w:rsidRPr="00770825" w:rsidRDefault="00095915" w:rsidP="00674DF8">
      <w:pPr>
        <w:spacing w:after="0" w:line="269" w:lineRule="auto"/>
        <w:rPr>
          <w:noProof/>
        </w:rPr>
      </w:pPr>
      <w:r>
        <w:rPr>
          <w:noProof/>
          <w:lang w:val="en-US"/>
        </w:rPr>
        <w:drawing>
          <wp:inline distT="0" distB="0" distL="0" distR="0" wp14:anchorId="346E4BD0" wp14:editId="065F3977">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6343" w:rsidRDefault="00046343" w:rsidP="00674DF8">
      <w:pPr>
        <w:spacing w:after="0" w:line="269" w:lineRule="auto"/>
        <w:rPr>
          <w:noProof/>
        </w:rPr>
      </w:pPr>
    </w:p>
    <w:p w:rsidR="00F12C34" w:rsidRDefault="00F12C34" w:rsidP="00674DF8">
      <w:pPr>
        <w:spacing w:after="0" w:line="269" w:lineRule="auto"/>
        <w:rPr>
          <w:noProof/>
        </w:rPr>
      </w:pPr>
    </w:p>
    <w:p w:rsidR="00046343" w:rsidRDefault="00095915" w:rsidP="00674DF8">
      <w:r>
        <w:t xml:space="preserve">The chart below </w:t>
      </w:r>
      <w:r w:rsidR="00534A60">
        <w:t>indicates the extent o</w:t>
      </w:r>
      <w:r w:rsidR="00541343">
        <w:t>f f</w:t>
      </w:r>
      <w:r w:rsidR="00534A60">
        <w:t>inancial difficulties among nursing staff, with over two-fifths (43%) stating they have struggled with household fuel bills (compared with 32% across the UK), a quarter (27%) have struggled with childcare costs, 17% have missed meals due to costs and a further 13% have missed or been late with rent or mortgage payments.</w:t>
      </w:r>
    </w:p>
    <w:p w:rsidR="00534A60" w:rsidRDefault="00534A60" w:rsidP="00674DF8">
      <w:pPr>
        <w:spacing w:after="0" w:line="269" w:lineRule="auto"/>
        <w:rPr>
          <w:noProof/>
        </w:rPr>
      </w:pPr>
    </w:p>
    <w:p w:rsidR="00046343" w:rsidRDefault="00095915" w:rsidP="00674DF8">
      <w:pPr>
        <w:spacing w:after="0" w:line="269" w:lineRule="auto"/>
        <w:rPr>
          <w:noProof/>
        </w:rPr>
      </w:pPr>
      <w:r>
        <w:rPr>
          <w:noProof/>
          <w:lang w:val="en-US"/>
        </w:rPr>
        <w:drawing>
          <wp:inline distT="0" distB="0" distL="0" distR="0" wp14:anchorId="0E2C47FA" wp14:editId="53D1E8B5">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6343" w:rsidRDefault="00046343"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534A60" w:rsidRDefault="00534A60" w:rsidP="00674DF8">
      <w:r>
        <w:t>Other responses show that half of all respondents in Northern Ireland have worked extra hours in their main job over the previous 12 months in order to help with bills and everyday living expenses while 37% have wo</w:t>
      </w:r>
      <w:r w:rsidR="00747864">
        <w:t xml:space="preserve">rked nights or weekend shifts. </w:t>
      </w:r>
      <w:r>
        <w:t xml:space="preserve">The same proportion (37%) </w:t>
      </w:r>
      <w:proofErr w:type="gramStart"/>
      <w:r>
        <w:t>have</w:t>
      </w:r>
      <w:proofErr w:type="gramEnd"/>
      <w:r>
        <w:t xml:space="preserve"> borrowed money and a fifth (22%) have taken another job to cope with expenses.</w:t>
      </w:r>
    </w:p>
    <w:p w:rsidR="00CB0B1A" w:rsidRDefault="00CB0B1A" w:rsidP="00674DF8">
      <w:pPr>
        <w:autoSpaceDE w:val="0"/>
        <w:autoSpaceDN w:val="0"/>
        <w:adjustRightInd w:val="0"/>
        <w:spacing w:after="0" w:line="240" w:lineRule="auto"/>
      </w:pPr>
    </w:p>
    <w:p w:rsidR="00046343" w:rsidRDefault="00534A60" w:rsidP="00674DF8">
      <w:pPr>
        <w:spacing w:after="0" w:line="269" w:lineRule="auto"/>
        <w:rPr>
          <w:noProof/>
        </w:rPr>
      </w:pPr>
      <w:r>
        <w:rPr>
          <w:noProof/>
          <w:lang w:val="en-US"/>
        </w:rPr>
        <w:drawing>
          <wp:inline distT="0" distB="0" distL="0" distR="0" wp14:anchorId="36D94C02" wp14:editId="4945C3EA">
            <wp:extent cx="5081588" cy="3128963"/>
            <wp:effectExtent l="0" t="0" r="5080"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6343" w:rsidRDefault="00046343"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F12C34" w:rsidRDefault="00F12C34" w:rsidP="00674DF8">
      <w:pPr>
        <w:spacing w:after="0" w:line="269" w:lineRule="auto"/>
        <w:rPr>
          <w:noProof/>
        </w:rPr>
      </w:pPr>
    </w:p>
    <w:p w:rsidR="005324FD" w:rsidRPr="005324FD" w:rsidRDefault="00747864" w:rsidP="00674DF8">
      <w:pPr>
        <w:pStyle w:val="ListParagraph"/>
        <w:numPr>
          <w:ilvl w:val="0"/>
          <w:numId w:val="3"/>
        </w:numPr>
        <w:rPr>
          <w:b/>
          <w:sz w:val="24"/>
          <w:szCs w:val="24"/>
        </w:rPr>
      </w:pPr>
      <w:r>
        <w:rPr>
          <w:b/>
          <w:sz w:val="24"/>
          <w:szCs w:val="24"/>
        </w:rPr>
        <w:t>Recruitment and r</w:t>
      </w:r>
      <w:r w:rsidR="002C5A75">
        <w:rPr>
          <w:b/>
          <w:sz w:val="24"/>
          <w:szCs w:val="24"/>
        </w:rPr>
        <w:t>etention</w:t>
      </w:r>
    </w:p>
    <w:p w:rsidR="0094018C" w:rsidRPr="0094018C" w:rsidRDefault="0094018C" w:rsidP="00674DF8">
      <w:r>
        <w:t xml:space="preserve">The chart below showing vacancy rate data between 2011 and 2015 shows a worrying trend, increasing from 2.3% in March 2014 to 3.8% in March 2015.  The long-term rate increased from 0.6% to 1.5% over the same period, pointing to increased recruitment and retention difficulties in Northern Ireland. </w:t>
      </w:r>
    </w:p>
    <w:p w:rsidR="00046343" w:rsidRDefault="00046343" w:rsidP="00674DF8">
      <w:pPr>
        <w:rPr>
          <w:noProof/>
        </w:rPr>
      </w:pPr>
    </w:p>
    <w:p w:rsidR="00046343" w:rsidRDefault="0094018C" w:rsidP="00674DF8">
      <w:pPr>
        <w:spacing w:after="0" w:line="269" w:lineRule="auto"/>
        <w:rPr>
          <w:noProof/>
        </w:rPr>
      </w:pPr>
      <w:r>
        <w:rPr>
          <w:noProof/>
          <w:lang w:val="en-US"/>
        </w:rPr>
        <w:drawing>
          <wp:inline distT="0" distB="0" distL="0" distR="0" wp14:anchorId="1479C406" wp14:editId="1E61CFC1">
            <wp:extent cx="5731510" cy="3373120"/>
            <wp:effectExtent l="0" t="0" r="254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5656" w:rsidRDefault="00AB5656" w:rsidP="00674DF8">
      <w:pPr>
        <w:spacing w:after="0" w:line="269" w:lineRule="auto"/>
        <w:rPr>
          <w:noProof/>
        </w:rPr>
      </w:pPr>
    </w:p>
    <w:p w:rsidR="00AB5656" w:rsidRDefault="000B7A28" w:rsidP="00674DF8">
      <w:r w:rsidRPr="000B7A28">
        <w:t xml:space="preserve">According to the RCN Employment Survey 2015, </w:t>
      </w:r>
      <w:r>
        <w:t xml:space="preserve">almost six in ten (57%) respondents working for HSC trusts reported that there had been a reduction in registered nurse staffing levels in the previous 12 months, and a third (30%) reported a reduction in HCA staffing levels.  </w:t>
      </w:r>
    </w:p>
    <w:p w:rsidR="00F12C34" w:rsidRDefault="00F12C34" w:rsidP="00674DF8"/>
    <w:p w:rsidR="00F12C34" w:rsidRDefault="00F12C34" w:rsidP="00674DF8"/>
    <w:p w:rsidR="00F12C34" w:rsidRDefault="00F12C34" w:rsidP="00674DF8"/>
    <w:p w:rsidR="00F12C34" w:rsidRDefault="00F12C34" w:rsidP="00674DF8"/>
    <w:p w:rsidR="00F12C34" w:rsidRDefault="00F12C34" w:rsidP="00674DF8"/>
    <w:p w:rsidR="00F12C34" w:rsidRDefault="00F12C34" w:rsidP="00674DF8"/>
    <w:p w:rsidR="00F12C34" w:rsidRDefault="00F12C34" w:rsidP="00674DF8"/>
    <w:p w:rsidR="00F12C34" w:rsidRDefault="00F12C34" w:rsidP="00674DF8"/>
    <w:p w:rsidR="00F12C34" w:rsidRDefault="00F12C34" w:rsidP="00674DF8"/>
    <w:p w:rsidR="000B7A28" w:rsidRDefault="00095915" w:rsidP="00674DF8">
      <w:r>
        <w:lastRenderedPageBreak/>
        <w:t>The c</w:t>
      </w:r>
      <w:r w:rsidR="000B7A28">
        <w:t xml:space="preserve">hart </w:t>
      </w:r>
      <w:r>
        <w:t>below</w:t>
      </w:r>
      <w:r w:rsidR="000B7A28">
        <w:t xml:space="preserve"> sets out how staffing changes have been managed, with 60% of Northern Ireland respondents reporting recruitment freezes with vacancies unfilled (comp</w:t>
      </w:r>
      <w:r w:rsidR="00747864">
        <w:t xml:space="preserve">ared to the UK figure of 45%). </w:t>
      </w:r>
      <w:r w:rsidR="00C763BC" w:rsidRPr="003C2657">
        <w:t xml:space="preserve">In Northern Ireland 40% </w:t>
      </w:r>
      <w:r w:rsidR="000B7A28">
        <w:t xml:space="preserve">reported there have been skill mix changes (compared to 45% across the UK) and 19% reported that posts had been cut.  </w:t>
      </w:r>
    </w:p>
    <w:p w:rsidR="00F12C34" w:rsidRDefault="00F12C34" w:rsidP="00674DF8"/>
    <w:p w:rsidR="000B7A28" w:rsidRDefault="000B7A28" w:rsidP="00674DF8">
      <w:pPr>
        <w:shd w:val="clear" w:color="auto" w:fill="FFFFFF"/>
        <w:textAlignment w:val="baseline"/>
      </w:pPr>
      <w:r>
        <w:rPr>
          <w:noProof/>
          <w:lang w:val="en-US"/>
        </w:rPr>
        <w:drawing>
          <wp:inline distT="0" distB="0" distL="0" distR="0" wp14:anchorId="296BF415" wp14:editId="2D7FA2B8">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B7A28" w:rsidRDefault="000B7A28" w:rsidP="00674DF8">
      <w:pPr>
        <w:rPr>
          <w:i/>
          <w:sz w:val="20"/>
          <w:szCs w:val="20"/>
        </w:rPr>
      </w:pPr>
      <w:r w:rsidRPr="002C5A75">
        <w:rPr>
          <w:i/>
          <w:sz w:val="20"/>
          <w:szCs w:val="20"/>
        </w:rPr>
        <w:t xml:space="preserve">Source: RCN Employment Survey 2015, NHS </w:t>
      </w:r>
      <w:r w:rsidR="00095915" w:rsidRPr="002C5A75">
        <w:rPr>
          <w:i/>
          <w:sz w:val="20"/>
          <w:szCs w:val="20"/>
        </w:rPr>
        <w:t>respondents</w:t>
      </w:r>
    </w:p>
    <w:p w:rsidR="00F12C34" w:rsidRPr="002C5A75" w:rsidRDefault="00F12C34" w:rsidP="00674DF8">
      <w:pPr>
        <w:rPr>
          <w:i/>
          <w:sz w:val="20"/>
          <w:szCs w:val="20"/>
        </w:rPr>
      </w:pPr>
    </w:p>
    <w:p w:rsidR="00F12C34" w:rsidRDefault="00D95B70" w:rsidP="00674DF8">
      <w:r w:rsidRPr="00EA6459">
        <w:t>Furthermore</w:t>
      </w:r>
      <w:r w:rsidR="00747864">
        <w:t>, the soon to be published HSC</w:t>
      </w:r>
      <w:r w:rsidRPr="00EA6459">
        <w:t xml:space="preserve"> </w:t>
      </w:r>
      <w:r w:rsidR="00747864">
        <w:t>staff s</w:t>
      </w:r>
      <w:r w:rsidRPr="00EA6459">
        <w:t>urvey has identified that 19% of staff will probably look for a job elsewhere in the next 12 months</w:t>
      </w:r>
      <w:r w:rsidR="00747864">
        <w:t>,</w:t>
      </w:r>
      <w:r w:rsidRPr="00EA6459">
        <w:t xml:space="preserve"> with 16 % claiming that they will leave as soon as they find another job.</w:t>
      </w:r>
    </w:p>
    <w:p w:rsidR="00095915" w:rsidRDefault="00B85F6A" w:rsidP="00674DF8">
      <w:pPr>
        <w:shd w:val="clear" w:color="auto" w:fill="FFFFFF"/>
        <w:spacing w:after="0" w:line="240" w:lineRule="auto"/>
        <w:textAlignment w:val="baseline"/>
        <w:rPr>
          <w:i/>
        </w:rPr>
      </w:pPr>
      <w:r>
        <w:t xml:space="preserve">The combination of high vacancy rates and pay restraint is clearly having an immediate impact on the level of agency nursing within the HSC, with the total spend on agency nursing having increased by 22% between 2012-2013 and 2014-2015.  </w:t>
      </w:r>
    </w:p>
    <w:p w:rsidR="003C2657" w:rsidRDefault="003C2657" w:rsidP="00674DF8">
      <w:pPr>
        <w:shd w:val="clear" w:color="auto" w:fill="FFFFFF"/>
        <w:spacing w:after="0" w:line="240" w:lineRule="auto"/>
        <w:textAlignment w:val="baseline"/>
        <w:rPr>
          <w:b/>
        </w:rPr>
      </w:pPr>
    </w:p>
    <w:p w:rsidR="00F12C34" w:rsidRDefault="00F12C34" w:rsidP="00674DF8">
      <w:pPr>
        <w:shd w:val="clear" w:color="auto" w:fill="FFFFFF"/>
        <w:spacing w:after="0" w:line="240" w:lineRule="auto"/>
        <w:textAlignment w:val="baseline"/>
        <w:rPr>
          <w:b/>
        </w:rPr>
      </w:pPr>
    </w:p>
    <w:p w:rsidR="00411C6F" w:rsidRDefault="0014383F" w:rsidP="00674DF8">
      <w:pPr>
        <w:shd w:val="clear" w:color="auto" w:fill="FFFFFF"/>
        <w:spacing w:after="0" w:line="240" w:lineRule="auto"/>
        <w:textAlignment w:val="baseline"/>
        <w:rPr>
          <w:b/>
        </w:rPr>
      </w:pPr>
      <w:r>
        <w:rPr>
          <w:b/>
        </w:rPr>
        <w:t xml:space="preserve">Table 2: </w:t>
      </w:r>
      <w:r w:rsidR="00411C6F" w:rsidRPr="009E3863">
        <w:rPr>
          <w:b/>
        </w:rPr>
        <w:t>HSC expenditure on agency nursing 2012-2015 (£m)</w:t>
      </w:r>
    </w:p>
    <w:tbl>
      <w:tblPr>
        <w:tblStyle w:val="TableGrid"/>
        <w:tblW w:w="0" w:type="auto"/>
        <w:tblLook w:val="04A0" w:firstRow="1" w:lastRow="0" w:firstColumn="1" w:lastColumn="0" w:noHBand="0" w:noVBand="1"/>
      </w:tblPr>
      <w:tblGrid>
        <w:gridCol w:w="1413"/>
        <w:gridCol w:w="1163"/>
        <w:gridCol w:w="1288"/>
        <w:gridCol w:w="1288"/>
        <w:gridCol w:w="1647"/>
        <w:gridCol w:w="1134"/>
        <w:gridCol w:w="1083"/>
      </w:tblGrid>
      <w:tr w:rsidR="00411C6F" w:rsidRPr="00DD4520" w:rsidTr="00411C6F">
        <w:trPr>
          <w:trHeight w:val="942"/>
        </w:trPr>
        <w:tc>
          <w:tcPr>
            <w:tcW w:w="1413" w:type="dxa"/>
          </w:tcPr>
          <w:p w:rsidR="00411C6F" w:rsidRPr="00DD4520" w:rsidRDefault="00411C6F" w:rsidP="00674DF8">
            <w:pPr>
              <w:spacing w:after="120" w:line="240" w:lineRule="auto"/>
              <w:textAlignment w:val="baseline"/>
              <w:rPr>
                <w:b/>
              </w:rPr>
            </w:pPr>
          </w:p>
        </w:tc>
        <w:tc>
          <w:tcPr>
            <w:tcW w:w="1163" w:type="dxa"/>
          </w:tcPr>
          <w:p w:rsidR="00411C6F" w:rsidRPr="00DD4520" w:rsidRDefault="00411C6F" w:rsidP="00674DF8">
            <w:pPr>
              <w:spacing w:after="120" w:line="240" w:lineRule="auto"/>
              <w:textAlignment w:val="baseline"/>
              <w:rPr>
                <w:b/>
              </w:rPr>
            </w:pPr>
            <w:r w:rsidRPr="00DD4520">
              <w:rPr>
                <w:b/>
              </w:rPr>
              <w:t>Belfast Trust</w:t>
            </w:r>
          </w:p>
          <w:p w:rsidR="00411C6F" w:rsidRPr="00DD4520" w:rsidRDefault="00411C6F" w:rsidP="00674DF8">
            <w:pPr>
              <w:spacing w:after="120" w:line="240" w:lineRule="auto"/>
              <w:textAlignment w:val="baseline"/>
              <w:rPr>
                <w:b/>
              </w:rPr>
            </w:pPr>
          </w:p>
        </w:tc>
        <w:tc>
          <w:tcPr>
            <w:tcW w:w="1288" w:type="dxa"/>
          </w:tcPr>
          <w:p w:rsidR="00411C6F" w:rsidRPr="00DD4520" w:rsidRDefault="00411C6F" w:rsidP="00674DF8">
            <w:pPr>
              <w:spacing w:after="120" w:line="240" w:lineRule="auto"/>
              <w:textAlignment w:val="baseline"/>
              <w:rPr>
                <w:b/>
              </w:rPr>
            </w:pPr>
            <w:r>
              <w:rPr>
                <w:b/>
              </w:rPr>
              <w:t>Northern Trust</w:t>
            </w:r>
          </w:p>
        </w:tc>
        <w:tc>
          <w:tcPr>
            <w:tcW w:w="1288" w:type="dxa"/>
          </w:tcPr>
          <w:p w:rsidR="00411C6F" w:rsidRPr="00DD4520" w:rsidRDefault="00411C6F" w:rsidP="00674DF8">
            <w:pPr>
              <w:spacing w:after="120" w:line="240" w:lineRule="auto"/>
              <w:textAlignment w:val="baseline"/>
              <w:rPr>
                <w:b/>
              </w:rPr>
            </w:pPr>
            <w:r>
              <w:rPr>
                <w:b/>
              </w:rPr>
              <w:t>Southern Trust</w:t>
            </w:r>
          </w:p>
        </w:tc>
        <w:tc>
          <w:tcPr>
            <w:tcW w:w="1647" w:type="dxa"/>
          </w:tcPr>
          <w:p w:rsidR="00411C6F" w:rsidRPr="00DD4520" w:rsidRDefault="00411C6F" w:rsidP="00674DF8">
            <w:pPr>
              <w:spacing w:after="120" w:line="240" w:lineRule="auto"/>
              <w:textAlignment w:val="baseline"/>
              <w:rPr>
                <w:b/>
              </w:rPr>
            </w:pPr>
            <w:r>
              <w:rPr>
                <w:b/>
              </w:rPr>
              <w:t>South Eastern Trust</w:t>
            </w:r>
          </w:p>
        </w:tc>
        <w:tc>
          <w:tcPr>
            <w:tcW w:w="1134" w:type="dxa"/>
          </w:tcPr>
          <w:p w:rsidR="00411C6F" w:rsidRPr="00DD4520" w:rsidRDefault="00411C6F" w:rsidP="00674DF8">
            <w:pPr>
              <w:spacing w:after="120" w:line="240" w:lineRule="auto"/>
              <w:textAlignment w:val="baseline"/>
              <w:rPr>
                <w:b/>
              </w:rPr>
            </w:pPr>
            <w:r>
              <w:rPr>
                <w:b/>
              </w:rPr>
              <w:t>Western Trust</w:t>
            </w:r>
          </w:p>
        </w:tc>
        <w:tc>
          <w:tcPr>
            <w:tcW w:w="1083" w:type="dxa"/>
          </w:tcPr>
          <w:p w:rsidR="00411C6F" w:rsidRPr="00DD4520" w:rsidRDefault="00411C6F" w:rsidP="00674DF8">
            <w:pPr>
              <w:spacing w:after="120" w:line="240" w:lineRule="auto"/>
              <w:textAlignment w:val="baseline"/>
              <w:rPr>
                <w:b/>
              </w:rPr>
            </w:pPr>
            <w:r>
              <w:rPr>
                <w:b/>
              </w:rPr>
              <w:t>Total</w:t>
            </w:r>
          </w:p>
        </w:tc>
      </w:tr>
      <w:tr w:rsidR="00411C6F" w:rsidRPr="00DD4520" w:rsidTr="00411C6F">
        <w:tc>
          <w:tcPr>
            <w:tcW w:w="1413" w:type="dxa"/>
          </w:tcPr>
          <w:p w:rsidR="00411C6F" w:rsidRPr="00DD4520" w:rsidRDefault="00411C6F" w:rsidP="00674DF8">
            <w:pPr>
              <w:spacing w:after="120" w:line="240" w:lineRule="auto"/>
              <w:textAlignment w:val="baseline"/>
            </w:pPr>
            <w:r w:rsidRPr="00DD4520">
              <w:t>2012-2013</w:t>
            </w:r>
          </w:p>
        </w:tc>
        <w:tc>
          <w:tcPr>
            <w:tcW w:w="1163" w:type="dxa"/>
          </w:tcPr>
          <w:p w:rsidR="00411C6F" w:rsidRPr="00DD4520" w:rsidRDefault="00411C6F" w:rsidP="00674DF8">
            <w:pPr>
              <w:spacing w:after="120" w:line="240" w:lineRule="auto"/>
              <w:textAlignment w:val="baseline"/>
            </w:pPr>
            <w:r w:rsidRPr="00DD4520">
              <w:t>3.7</w:t>
            </w:r>
          </w:p>
        </w:tc>
        <w:tc>
          <w:tcPr>
            <w:tcW w:w="1288" w:type="dxa"/>
          </w:tcPr>
          <w:p w:rsidR="00411C6F" w:rsidRPr="00DD4520" w:rsidRDefault="00411C6F" w:rsidP="00674DF8">
            <w:pPr>
              <w:spacing w:after="120" w:line="240" w:lineRule="auto"/>
              <w:textAlignment w:val="baseline"/>
            </w:pPr>
            <w:r>
              <w:t>1.1</w:t>
            </w:r>
          </w:p>
        </w:tc>
        <w:tc>
          <w:tcPr>
            <w:tcW w:w="1288" w:type="dxa"/>
          </w:tcPr>
          <w:p w:rsidR="00411C6F" w:rsidRPr="00DD4520" w:rsidRDefault="00411C6F" w:rsidP="00674DF8">
            <w:pPr>
              <w:spacing w:after="120" w:line="240" w:lineRule="auto"/>
              <w:textAlignment w:val="baseline"/>
            </w:pPr>
            <w:r>
              <w:t>0.67</w:t>
            </w:r>
          </w:p>
        </w:tc>
        <w:tc>
          <w:tcPr>
            <w:tcW w:w="1647" w:type="dxa"/>
          </w:tcPr>
          <w:p w:rsidR="00411C6F" w:rsidRPr="00DD4520" w:rsidRDefault="00411C6F" w:rsidP="00674DF8">
            <w:pPr>
              <w:spacing w:after="120" w:line="240" w:lineRule="auto"/>
              <w:textAlignment w:val="baseline"/>
            </w:pPr>
            <w:r>
              <w:t>2.8</w:t>
            </w:r>
          </w:p>
        </w:tc>
        <w:tc>
          <w:tcPr>
            <w:tcW w:w="1134" w:type="dxa"/>
          </w:tcPr>
          <w:p w:rsidR="00411C6F" w:rsidRPr="00DD4520" w:rsidRDefault="00411C6F" w:rsidP="00674DF8">
            <w:pPr>
              <w:spacing w:after="120" w:line="240" w:lineRule="auto"/>
              <w:textAlignment w:val="baseline"/>
            </w:pPr>
            <w:r>
              <w:t>1.6</w:t>
            </w:r>
          </w:p>
        </w:tc>
        <w:tc>
          <w:tcPr>
            <w:tcW w:w="1083" w:type="dxa"/>
          </w:tcPr>
          <w:p w:rsidR="00411C6F" w:rsidRPr="00DD4520" w:rsidRDefault="00411C6F" w:rsidP="00674DF8">
            <w:pPr>
              <w:spacing w:after="120" w:line="240" w:lineRule="auto"/>
              <w:textAlignment w:val="baseline"/>
              <w:rPr>
                <w:b/>
              </w:rPr>
            </w:pPr>
            <w:r w:rsidRPr="00DD4520">
              <w:rPr>
                <w:b/>
              </w:rPr>
              <w:t>9.87</w:t>
            </w:r>
          </w:p>
        </w:tc>
      </w:tr>
      <w:tr w:rsidR="00411C6F" w:rsidRPr="00DD4520" w:rsidTr="00411C6F">
        <w:tc>
          <w:tcPr>
            <w:tcW w:w="1413" w:type="dxa"/>
          </w:tcPr>
          <w:p w:rsidR="00411C6F" w:rsidRPr="00DD4520" w:rsidRDefault="00411C6F" w:rsidP="00674DF8">
            <w:pPr>
              <w:spacing w:after="120" w:line="240" w:lineRule="auto"/>
              <w:textAlignment w:val="baseline"/>
            </w:pPr>
            <w:r w:rsidRPr="00DD4520">
              <w:t>2013-2014</w:t>
            </w:r>
          </w:p>
        </w:tc>
        <w:tc>
          <w:tcPr>
            <w:tcW w:w="1163" w:type="dxa"/>
          </w:tcPr>
          <w:p w:rsidR="00411C6F" w:rsidRPr="00DD4520" w:rsidRDefault="00411C6F" w:rsidP="00674DF8">
            <w:pPr>
              <w:spacing w:after="120" w:line="240" w:lineRule="auto"/>
              <w:textAlignment w:val="baseline"/>
            </w:pPr>
            <w:r w:rsidRPr="00DD4520">
              <w:t>5.3</w:t>
            </w:r>
          </w:p>
        </w:tc>
        <w:tc>
          <w:tcPr>
            <w:tcW w:w="1288" w:type="dxa"/>
          </w:tcPr>
          <w:p w:rsidR="00411C6F" w:rsidRPr="00DD4520" w:rsidRDefault="00411C6F" w:rsidP="00674DF8">
            <w:pPr>
              <w:spacing w:after="120" w:line="240" w:lineRule="auto"/>
              <w:textAlignment w:val="baseline"/>
            </w:pPr>
            <w:r>
              <w:t>1.2</w:t>
            </w:r>
          </w:p>
        </w:tc>
        <w:tc>
          <w:tcPr>
            <w:tcW w:w="1288" w:type="dxa"/>
          </w:tcPr>
          <w:p w:rsidR="00411C6F" w:rsidRPr="00DD4520" w:rsidRDefault="00411C6F" w:rsidP="00674DF8">
            <w:pPr>
              <w:spacing w:after="120" w:line="240" w:lineRule="auto"/>
              <w:textAlignment w:val="baseline"/>
            </w:pPr>
            <w:r>
              <w:t>0.23</w:t>
            </w:r>
          </w:p>
        </w:tc>
        <w:tc>
          <w:tcPr>
            <w:tcW w:w="1647" w:type="dxa"/>
          </w:tcPr>
          <w:p w:rsidR="00411C6F" w:rsidRPr="00DD4520" w:rsidRDefault="00411C6F" w:rsidP="00674DF8">
            <w:pPr>
              <w:spacing w:after="120" w:line="240" w:lineRule="auto"/>
              <w:textAlignment w:val="baseline"/>
            </w:pPr>
            <w:r>
              <w:t>2.2</w:t>
            </w:r>
          </w:p>
        </w:tc>
        <w:tc>
          <w:tcPr>
            <w:tcW w:w="1134" w:type="dxa"/>
          </w:tcPr>
          <w:p w:rsidR="00411C6F" w:rsidRPr="00DD4520" w:rsidRDefault="00411C6F" w:rsidP="00674DF8">
            <w:pPr>
              <w:spacing w:after="120" w:line="240" w:lineRule="auto"/>
              <w:textAlignment w:val="baseline"/>
            </w:pPr>
            <w:r>
              <w:t>2.2</w:t>
            </w:r>
          </w:p>
        </w:tc>
        <w:tc>
          <w:tcPr>
            <w:tcW w:w="1083" w:type="dxa"/>
          </w:tcPr>
          <w:p w:rsidR="00411C6F" w:rsidRPr="00DD4520" w:rsidRDefault="00411C6F" w:rsidP="00674DF8">
            <w:pPr>
              <w:spacing w:after="120" w:line="240" w:lineRule="auto"/>
              <w:textAlignment w:val="baseline"/>
              <w:rPr>
                <w:b/>
              </w:rPr>
            </w:pPr>
            <w:r>
              <w:rPr>
                <w:b/>
              </w:rPr>
              <w:t>11.13</w:t>
            </w:r>
          </w:p>
        </w:tc>
      </w:tr>
      <w:tr w:rsidR="00411C6F" w:rsidRPr="00DD4520" w:rsidTr="00411C6F">
        <w:tc>
          <w:tcPr>
            <w:tcW w:w="1413" w:type="dxa"/>
          </w:tcPr>
          <w:p w:rsidR="00411C6F" w:rsidRPr="00DD4520" w:rsidRDefault="00411C6F" w:rsidP="00674DF8">
            <w:pPr>
              <w:spacing w:after="120" w:line="240" w:lineRule="auto"/>
              <w:textAlignment w:val="baseline"/>
            </w:pPr>
            <w:r w:rsidRPr="00DD4520">
              <w:t>2014-2015</w:t>
            </w:r>
          </w:p>
        </w:tc>
        <w:tc>
          <w:tcPr>
            <w:tcW w:w="1163" w:type="dxa"/>
          </w:tcPr>
          <w:p w:rsidR="00411C6F" w:rsidRPr="00DD4520" w:rsidRDefault="00411C6F" w:rsidP="00674DF8">
            <w:pPr>
              <w:spacing w:after="120" w:line="240" w:lineRule="auto"/>
              <w:textAlignment w:val="baseline"/>
            </w:pPr>
            <w:r w:rsidRPr="00DD4520">
              <w:t>5.6</w:t>
            </w:r>
          </w:p>
        </w:tc>
        <w:tc>
          <w:tcPr>
            <w:tcW w:w="1288" w:type="dxa"/>
          </w:tcPr>
          <w:p w:rsidR="00411C6F" w:rsidRPr="00DD4520" w:rsidRDefault="00411C6F" w:rsidP="00674DF8">
            <w:pPr>
              <w:spacing w:after="120" w:line="240" w:lineRule="auto"/>
              <w:textAlignment w:val="baseline"/>
            </w:pPr>
            <w:r>
              <w:t>1.6</w:t>
            </w:r>
          </w:p>
        </w:tc>
        <w:tc>
          <w:tcPr>
            <w:tcW w:w="1288" w:type="dxa"/>
          </w:tcPr>
          <w:p w:rsidR="00411C6F" w:rsidRPr="00DD4520" w:rsidRDefault="00411C6F" w:rsidP="00674DF8">
            <w:pPr>
              <w:spacing w:after="120" w:line="240" w:lineRule="auto"/>
              <w:textAlignment w:val="baseline"/>
            </w:pPr>
            <w:r>
              <w:t>0.18</w:t>
            </w:r>
          </w:p>
        </w:tc>
        <w:tc>
          <w:tcPr>
            <w:tcW w:w="1647" w:type="dxa"/>
          </w:tcPr>
          <w:p w:rsidR="00411C6F" w:rsidRPr="00DD4520" w:rsidRDefault="00411C6F" w:rsidP="00674DF8">
            <w:pPr>
              <w:spacing w:after="120" w:line="240" w:lineRule="auto"/>
              <w:textAlignment w:val="baseline"/>
            </w:pPr>
            <w:r>
              <w:t>1.9</w:t>
            </w:r>
          </w:p>
        </w:tc>
        <w:tc>
          <w:tcPr>
            <w:tcW w:w="1134" w:type="dxa"/>
          </w:tcPr>
          <w:p w:rsidR="00411C6F" w:rsidRPr="00DD4520" w:rsidRDefault="00411C6F" w:rsidP="00674DF8">
            <w:pPr>
              <w:spacing w:after="120" w:line="240" w:lineRule="auto"/>
              <w:textAlignment w:val="baseline"/>
            </w:pPr>
            <w:r>
              <w:t>2.8</w:t>
            </w:r>
          </w:p>
        </w:tc>
        <w:tc>
          <w:tcPr>
            <w:tcW w:w="1083" w:type="dxa"/>
          </w:tcPr>
          <w:p w:rsidR="00411C6F" w:rsidRPr="00DD4520" w:rsidRDefault="00411C6F" w:rsidP="00674DF8">
            <w:pPr>
              <w:spacing w:after="120" w:line="240" w:lineRule="auto"/>
              <w:textAlignment w:val="baseline"/>
              <w:rPr>
                <w:b/>
              </w:rPr>
            </w:pPr>
            <w:r>
              <w:rPr>
                <w:b/>
              </w:rPr>
              <w:t>12.08</w:t>
            </w:r>
          </w:p>
        </w:tc>
      </w:tr>
      <w:tr w:rsidR="00411C6F" w:rsidRPr="00DD4520" w:rsidTr="00411C6F">
        <w:tc>
          <w:tcPr>
            <w:tcW w:w="1413" w:type="dxa"/>
          </w:tcPr>
          <w:p w:rsidR="00411C6F" w:rsidRPr="00DD4520" w:rsidRDefault="00411C6F" w:rsidP="00674DF8">
            <w:pPr>
              <w:spacing w:after="120" w:line="240" w:lineRule="auto"/>
              <w:textAlignment w:val="baseline"/>
              <w:rPr>
                <w:b/>
              </w:rPr>
            </w:pPr>
            <w:r>
              <w:rPr>
                <w:b/>
              </w:rPr>
              <w:t>Total</w:t>
            </w:r>
          </w:p>
        </w:tc>
        <w:tc>
          <w:tcPr>
            <w:tcW w:w="1163" w:type="dxa"/>
          </w:tcPr>
          <w:p w:rsidR="00411C6F" w:rsidRPr="00DD4520" w:rsidRDefault="00411C6F" w:rsidP="00674DF8">
            <w:pPr>
              <w:spacing w:after="120" w:line="240" w:lineRule="auto"/>
              <w:textAlignment w:val="baseline"/>
              <w:rPr>
                <w:b/>
              </w:rPr>
            </w:pPr>
            <w:r w:rsidRPr="00DD4520">
              <w:rPr>
                <w:b/>
              </w:rPr>
              <w:t>14.6</w:t>
            </w:r>
          </w:p>
        </w:tc>
        <w:tc>
          <w:tcPr>
            <w:tcW w:w="1288" w:type="dxa"/>
          </w:tcPr>
          <w:p w:rsidR="00411C6F" w:rsidRPr="00DD4520" w:rsidRDefault="00411C6F" w:rsidP="00674DF8">
            <w:pPr>
              <w:spacing w:after="120" w:line="240" w:lineRule="auto"/>
              <w:textAlignment w:val="baseline"/>
              <w:rPr>
                <w:b/>
              </w:rPr>
            </w:pPr>
            <w:r>
              <w:rPr>
                <w:b/>
              </w:rPr>
              <w:t>3.9</w:t>
            </w:r>
          </w:p>
        </w:tc>
        <w:tc>
          <w:tcPr>
            <w:tcW w:w="1288" w:type="dxa"/>
          </w:tcPr>
          <w:p w:rsidR="00411C6F" w:rsidRPr="00DD4520" w:rsidRDefault="00411C6F" w:rsidP="00674DF8">
            <w:pPr>
              <w:spacing w:after="120" w:line="240" w:lineRule="auto"/>
              <w:textAlignment w:val="baseline"/>
              <w:rPr>
                <w:b/>
              </w:rPr>
            </w:pPr>
            <w:r>
              <w:rPr>
                <w:b/>
              </w:rPr>
              <w:t>1.08</w:t>
            </w:r>
          </w:p>
        </w:tc>
        <w:tc>
          <w:tcPr>
            <w:tcW w:w="1647" w:type="dxa"/>
          </w:tcPr>
          <w:p w:rsidR="00411C6F" w:rsidRPr="00DD4520" w:rsidRDefault="00411C6F" w:rsidP="00674DF8">
            <w:pPr>
              <w:spacing w:after="120" w:line="240" w:lineRule="auto"/>
              <w:textAlignment w:val="baseline"/>
              <w:rPr>
                <w:b/>
              </w:rPr>
            </w:pPr>
            <w:r>
              <w:rPr>
                <w:b/>
              </w:rPr>
              <w:t>6.9</w:t>
            </w:r>
          </w:p>
        </w:tc>
        <w:tc>
          <w:tcPr>
            <w:tcW w:w="1134" w:type="dxa"/>
          </w:tcPr>
          <w:p w:rsidR="00411C6F" w:rsidRPr="00DD4520" w:rsidRDefault="00411C6F" w:rsidP="00674DF8">
            <w:pPr>
              <w:spacing w:after="120" w:line="240" w:lineRule="auto"/>
              <w:textAlignment w:val="baseline"/>
              <w:rPr>
                <w:b/>
              </w:rPr>
            </w:pPr>
            <w:r>
              <w:rPr>
                <w:b/>
              </w:rPr>
              <w:t>6.6</w:t>
            </w:r>
          </w:p>
        </w:tc>
        <w:tc>
          <w:tcPr>
            <w:tcW w:w="1083" w:type="dxa"/>
          </w:tcPr>
          <w:p w:rsidR="00411C6F" w:rsidRPr="00DD4520" w:rsidRDefault="00411C6F" w:rsidP="00674DF8">
            <w:pPr>
              <w:spacing w:after="120" w:line="240" w:lineRule="auto"/>
              <w:textAlignment w:val="baseline"/>
              <w:rPr>
                <w:b/>
              </w:rPr>
            </w:pPr>
            <w:r>
              <w:rPr>
                <w:b/>
              </w:rPr>
              <w:t>33.08</w:t>
            </w:r>
          </w:p>
        </w:tc>
      </w:tr>
    </w:tbl>
    <w:p w:rsidR="00411C6F" w:rsidRDefault="00411C6F" w:rsidP="00674DF8">
      <w:pPr>
        <w:shd w:val="clear" w:color="auto" w:fill="FFFFFF"/>
        <w:textAlignment w:val="baseline"/>
        <w:rPr>
          <w:i/>
          <w:sz w:val="20"/>
          <w:szCs w:val="20"/>
        </w:rPr>
      </w:pPr>
      <w:r w:rsidRPr="009E3863">
        <w:rPr>
          <w:i/>
          <w:sz w:val="20"/>
          <w:szCs w:val="20"/>
        </w:rPr>
        <w:t>Source: Northern Ireland Assembly written questions and answers AQW 46996/11-15, AQW 46999/11-15, AQW 46998/11-15, AQW 46997/11-15, AQW 47000/11-15</w:t>
      </w:r>
    </w:p>
    <w:p w:rsidR="00774A49" w:rsidRPr="009E3863" w:rsidRDefault="00774A49" w:rsidP="00674DF8">
      <w:pPr>
        <w:shd w:val="clear" w:color="auto" w:fill="FFFFFF"/>
        <w:textAlignment w:val="baseline"/>
        <w:rPr>
          <w:i/>
          <w:sz w:val="20"/>
          <w:szCs w:val="20"/>
        </w:rPr>
      </w:pPr>
    </w:p>
    <w:p w:rsidR="00411C6F" w:rsidRDefault="00DA5E64" w:rsidP="00674DF8">
      <w:r>
        <w:lastRenderedPageBreak/>
        <w:t>HSC T</w:t>
      </w:r>
      <w:r w:rsidR="00411C6F">
        <w:t xml:space="preserve">rusts are turning increasingly to agency staff because demand for </w:t>
      </w:r>
      <w:r w:rsidR="0014383F">
        <w:t xml:space="preserve">nursing staff </w:t>
      </w:r>
      <w:r w:rsidR="00411C6F">
        <w:t>employed and deployed via nurse banks is outstripping supply. This is neither safe nor is it value for money. As a result, many nursing teams</w:t>
      </w:r>
      <w:r w:rsidR="00774A49">
        <w:t xml:space="preserve"> are depleted. </w:t>
      </w:r>
      <w:r w:rsidR="00411C6F">
        <w:t>This creates additional pressures and compounds existing problems, particularly in relation to continuity of care.</w:t>
      </w:r>
    </w:p>
    <w:p w:rsidR="00D95B70" w:rsidRDefault="00D95B70" w:rsidP="00674DF8">
      <w:r w:rsidRPr="00EA6459">
        <w:t>The RCN believe</w:t>
      </w:r>
      <w:r w:rsidR="00747864">
        <w:t>s</w:t>
      </w:r>
      <w:r w:rsidRPr="00EA6459">
        <w:t xml:space="preserve"> that there is compelling evidence to support </w:t>
      </w:r>
      <w:r w:rsidR="001A3CE8">
        <w:t xml:space="preserve">the introduction of </w:t>
      </w:r>
      <w:r w:rsidR="00511C37">
        <w:t xml:space="preserve">a </w:t>
      </w:r>
      <w:r w:rsidRPr="00EA6459">
        <w:t>retent</w:t>
      </w:r>
      <w:r w:rsidR="009D14CC">
        <w:t xml:space="preserve">ion and recruitment </w:t>
      </w:r>
      <w:proofErr w:type="spellStart"/>
      <w:r w:rsidR="009D14CC">
        <w:t>premia</w:t>
      </w:r>
      <w:proofErr w:type="spellEnd"/>
      <w:r w:rsidR="009D14CC">
        <w:t xml:space="preserve"> for b</w:t>
      </w:r>
      <w:r w:rsidRPr="00EA6459">
        <w:t>and 5 nurses in Northern Ireland. Section 5 and Annexe J of the NHS terms and conditions of service handbook outlines the Agenda for Change criteria for the application of a retenti</w:t>
      </w:r>
      <w:r w:rsidR="009D14CC">
        <w:t xml:space="preserve">on and recruitment </w:t>
      </w:r>
      <w:proofErr w:type="spellStart"/>
      <w:r w:rsidR="009D14CC">
        <w:t>premia</w:t>
      </w:r>
      <w:proofErr w:type="spellEnd"/>
      <w:r w:rsidR="009D14CC">
        <w:t>. HSC t</w:t>
      </w:r>
      <w:r w:rsidRPr="00EA6459">
        <w:t>rusts ha</w:t>
      </w:r>
      <w:r w:rsidR="009D14CC">
        <w:t>ve advertised and re-advertised</w:t>
      </w:r>
      <w:r w:rsidRPr="00EA6459">
        <w:t xml:space="preserve"> Band 5 vacanc</w:t>
      </w:r>
      <w:r w:rsidR="00511C37">
        <w:t>ies in relevant local, regional and</w:t>
      </w:r>
      <w:r w:rsidRPr="00EA6459">
        <w:t xml:space="preserve"> national </w:t>
      </w:r>
      <w:r w:rsidR="00511C37">
        <w:t>press</w:t>
      </w:r>
      <w:r w:rsidRPr="00EA6459">
        <w:t>, with little success.</w:t>
      </w:r>
      <w:r w:rsidR="00511C37">
        <w:t xml:space="preserve"> The independent private nursing home sector ha</w:t>
      </w:r>
      <w:r w:rsidR="009D14CC">
        <w:t>s</w:t>
      </w:r>
      <w:r w:rsidR="00511C37">
        <w:t xml:space="preserve"> repeatedly tried to recruit at national and international level with negligible </w:t>
      </w:r>
      <w:r w:rsidR="00587A84">
        <w:t>impact</w:t>
      </w:r>
      <w:r w:rsidR="00511C37">
        <w:t>.</w:t>
      </w:r>
    </w:p>
    <w:p w:rsidR="00D95B70" w:rsidRDefault="00D95B70" w:rsidP="00674DF8">
      <w:r w:rsidRPr="00EA6459">
        <w:t xml:space="preserve">The handbook </w:t>
      </w:r>
      <w:proofErr w:type="gramStart"/>
      <w:r w:rsidRPr="00EA6459">
        <w:t>states that</w:t>
      </w:r>
      <w:proofErr w:type="gramEnd"/>
      <w:r w:rsidRPr="00EA6459">
        <w:t xml:space="preserve"> “retention and recruitment </w:t>
      </w:r>
      <w:proofErr w:type="spellStart"/>
      <w:r w:rsidRPr="00EA6459">
        <w:t>premia</w:t>
      </w:r>
      <w:proofErr w:type="spellEnd"/>
      <w:r w:rsidRPr="00EA6459">
        <w:t xml:space="preserve"> may also be awarded on a national basis to particular groups of staff on the recommendation of the NHS Pay Review B</w:t>
      </w:r>
      <w:r w:rsidR="009D14CC">
        <w:t xml:space="preserve">ody (NHSPRB) where </w:t>
      </w:r>
      <w:r w:rsidRPr="00EA6459">
        <w:t>there are national recr</w:t>
      </w:r>
      <w:r w:rsidR="009D14CC">
        <w:t>uitment and retention problems”; n</w:t>
      </w:r>
      <w:r w:rsidRPr="00EA6459">
        <w:t xml:space="preserve">ational in this </w:t>
      </w:r>
      <w:r w:rsidR="00511C37">
        <w:t>context i</w:t>
      </w:r>
      <w:r w:rsidR="00587A84">
        <w:t>s</w:t>
      </w:r>
      <w:r w:rsidR="00511C37">
        <w:t xml:space="preserve"> Northern Ireland.</w:t>
      </w:r>
    </w:p>
    <w:p w:rsidR="00511C37" w:rsidRDefault="00511C37" w:rsidP="00674DF8">
      <w:r w:rsidRPr="00AE4104">
        <w:t>The level of vacancies in the independent sector must also be considered as another significant factor when analysing the supply and demand in the nursing labour market within</w:t>
      </w:r>
      <w:r w:rsidR="00181B2E">
        <w:t xml:space="preserve"> HSC Trusts. A recent RCN survey report (Care in Crisis</w:t>
      </w:r>
      <w:r w:rsidR="00587A84">
        <w:t>,</w:t>
      </w:r>
      <w:r w:rsidR="00181B2E">
        <w:t xml:space="preserve"> December 2015)</w:t>
      </w:r>
      <w:r w:rsidRPr="00AE4104">
        <w:t xml:space="preserve"> </w:t>
      </w:r>
      <w:r w:rsidR="00181B2E">
        <w:t>on</w:t>
      </w:r>
      <w:r w:rsidRPr="00AE4104">
        <w:t xml:space="preserve"> the in</w:t>
      </w:r>
      <w:r w:rsidR="009D14CC">
        <w:t>dependent nursing home sector</w:t>
      </w:r>
      <w:r w:rsidRPr="00AE4104">
        <w:t xml:space="preserve"> in Northern </w:t>
      </w:r>
      <w:proofErr w:type="gramStart"/>
      <w:r w:rsidRPr="00AE4104">
        <w:t>Ireland</w:t>
      </w:r>
      <w:r w:rsidR="00587A84">
        <w:t>,</w:t>
      </w:r>
      <w:proofErr w:type="gramEnd"/>
      <w:r w:rsidRPr="00AE4104">
        <w:t xml:space="preserve"> indicated that there </w:t>
      </w:r>
      <w:r w:rsidR="00B85F6A">
        <w:t>were</w:t>
      </w:r>
      <w:r w:rsidRPr="00AE4104">
        <w:t xml:space="preserve"> </w:t>
      </w:r>
      <w:r w:rsidR="00181B2E" w:rsidRPr="00181B2E">
        <w:t>374 WTE</w:t>
      </w:r>
      <w:r w:rsidRPr="00AE4104">
        <w:t xml:space="preserve"> registered nurse vacancies</w:t>
      </w:r>
      <w:r w:rsidR="00B85F6A">
        <w:t xml:space="preserve"> as of June 2015 and there are reports that this number continues to grow</w:t>
      </w:r>
      <w:r w:rsidRPr="00AE4104">
        <w:t xml:space="preserve">.  </w:t>
      </w:r>
    </w:p>
    <w:p w:rsidR="00DA5E64" w:rsidRDefault="00DA5E64" w:rsidP="00674DF8"/>
    <w:p w:rsidR="00774A49" w:rsidRDefault="00774A49" w:rsidP="00674DF8"/>
    <w:p w:rsidR="00774A49" w:rsidRDefault="00774A49" w:rsidP="00674DF8"/>
    <w:p w:rsidR="00774A49" w:rsidRDefault="00774A49" w:rsidP="00674DF8"/>
    <w:p w:rsidR="00774A49" w:rsidRDefault="00774A49" w:rsidP="00674DF8"/>
    <w:p w:rsidR="00774A49" w:rsidRDefault="00774A49" w:rsidP="00674DF8"/>
    <w:p w:rsidR="00774A49" w:rsidRDefault="00774A49" w:rsidP="00674DF8"/>
    <w:p w:rsidR="00774A49" w:rsidRDefault="00774A49" w:rsidP="00674DF8"/>
    <w:p w:rsidR="00774A49" w:rsidRDefault="00774A49" w:rsidP="00674DF8"/>
    <w:p w:rsidR="00774A49" w:rsidRDefault="00774A49" w:rsidP="00674DF8"/>
    <w:p w:rsidR="00774A49" w:rsidRDefault="00774A49" w:rsidP="00674DF8"/>
    <w:p w:rsidR="00774A49" w:rsidRDefault="00774A49" w:rsidP="00674DF8"/>
    <w:p w:rsidR="00774A49" w:rsidRDefault="00774A49" w:rsidP="00674DF8"/>
    <w:p w:rsidR="00774A49" w:rsidRPr="00AE4104" w:rsidRDefault="00774A49" w:rsidP="00674DF8"/>
    <w:p w:rsidR="00477CDF" w:rsidRPr="002C5A75" w:rsidRDefault="00477CDF" w:rsidP="00674DF8">
      <w:pPr>
        <w:pStyle w:val="ListParagraph"/>
        <w:numPr>
          <w:ilvl w:val="0"/>
          <w:numId w:val="3"/>
        </w:numPr>
        <w:rPr>
          <w:b/>
          <w:sz w:val="24"/>
          <w:szCs w:val="24"/>
        </w:rPr>
      </w:pPr>
      <w:r w:rsidRPr="002C5A75">
        <w:rPr>
          <w:b/>
          <w:sz w:val="24"/>
          <w:szCs w:val="24"/>
        </w:rPr>
        <w:lastRenderedPageBreak/>
        <w:t xml:space="preserve">Morale, </w:t>
      </w:r>
      <w:r w:rsidR="009D14CC">
        <w:rPr>
          <w:b/>
          <w:sz w:val="24"/>
          <w:szCs w:val="24"/>
        </w:rPr>
        <w:t>m</w:t>
      </w:r>
      <w:r w:rsidR="00AB5656" w:rsidRPr="002C5A75">
        <w:rPr>
          <w:b/>
          <w:sz w:val="24"/>
          <w:szCs w:val="24"/>
        </w:rPr>
        <w:t>otivation</w:t>
      </w:r>
      <w:r w:rsidR="009D14CC">
        <w:rPr>
          <w:b/>
          <w:sz w:val="24"/>
          <w:szCs w:val="24"/>
        </w:rPr>
        <w:t xml:space="preserve"> and w</w:t>
      </w:r>
      <w:r w:rsidRPr="002C5A75">
        <w:rPr>
          <w:b/>
          <w:sz w:val="24"/>
          <w:szCs w:val="24"/>
        </w:rPr>
        <w:t>ell</w:t>
      </w:r>
      <w:r w:rsidR="009D14CC">
        <w:rPr>
          <w:b/>
          <w:sz w:val="24"/>
          <w:szCs w:val="24"/>
        </w:rPr>
        <w:t>-</w:t>
      </w:r>
      <w:r w:rsidRPr="002C5A75">
        <w:rPr>
          <w:b/>
          <w:sz w:val="24"/>
          <w:szCs w:val="24"/>
        </w:rPr>
        <w:t>being</w:t>
      </w:r>
    </w:p>
    <w:p w:rsidR="00477CDF" w:rsidRPr="009D14CC" w:rsidRDefault="008A7A13" w:rsidP="00674DF8">
      <w:pPr>
        <w:rPr>
          <w:b/>
        </w:rPr>
      </w:pPr>
      <w:r w:rsidRPr="009D14CC">
        <w:t>The tables below show sickness absence rates across HSC trusts in 2014-</w:t>
      </w:r>
      <w:r w:rsidR="00D1674D">
        <w:t xml:space="preserve">2015. </w:t>
      </w:r>
      <w:r w:rsidRPr="009D14CC">
        <w:t xml:space="preserve">By comparison, the average sickness absence </w:t>
      </w:r>
      <w:r w:rsidR="00D1674D">
        <w:t xml:space="preserve">rate </w:t>
      </w:r>
      <w:r w:rsidRPr="009D14CC">
        <w:t xml:space="preserve">for all England NHS trusts </w:t>
      </w:r>
      <w:r w:rsidR="00541343" w:rsidRPr="009D14CC">
        <w:t>stood at</w:t>
      </w:r>
      <w:r w:rsidRPr="009D14CC">
        <w:t xml:space="preserve"> 3.92% as at August 2015.  </w:t>
      </w:r>
    </w:p>
    <w:p w:rsidR="00BB22F2" w:rsidRPr="00477CDF" w:rsidRDefault="0014383F" w:rsidP="00674DF8">
      <w:pPr>
        <w:pStyle w:val="NoSpacing"/>
        <w:rPr>
          <w:rFonts w:ascii="Arial" w:hAnsi="Arial" w:cs="Arial"/>
          <w:b/>
        </w:rPr>
      </w:pPr>
      <w:r>
        <w:rPr>
          <w:rFonts w:ascii="Arial" w:hAnsi="Arial" w:cs="Arial"/>
          <w:b/>
        </w:rPr>
        <w:t>Table 3: Sickness absence rates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477CDF" w:rsidRPr="00477CDF" w:rsidTr="00792EEF">
        <w:tc>
          <w:tcPr>
            <w:tcW w:w="1502" w:type="dxa"/>
            <w:shd w:val="clear" w:color="auto" w:fill="BFBFBF" w:themeFill="background1" w:themeFillShade="BF"/>
          </w:tcPr>
          <w:p w:rsidR="00477CDF" w:rsidRPr="00477CDF" w:rsidRDefault="00477CDF" w:rsidP="00674DF8">
            <w:pPr>
              <w:pStyle w:val="NoSpacing"/>
              <w:rPr>
                <w:rFonts w:ascii="Arial" w:hAnsi="Arial" w:cs="Arial"/>
              </w:rPr>
            </w:pPr>
            <w:r w:rsidRPr="00477CDF">
              <w:rPr>
                <w:rFonts w:ascii="Arial" w:hAnsi="Arial" w:cs="Arial"/>
              </w:rPr>
              <w:t>Band 2</w:t>
            </w:r>
          </w:p>
        </w:tc>
        <w:tc>
          <w:tcPr>
            <w:tcW w:w="1502" w:type="dxa"/>
          </w:tcPr>
          <w:p w:rsidR="00477CDF" w:rsidRPr="00477CDF" w:rsidRDefault="00477CDF" w:rsidP="00674DF8">
            <w:pPr>
              <w:pStyle w:val="NoSpacing"/>
              <w:rPr>
                <w:rFonts w:ascii="Arial" w:hAnsi="Arial" w:cs="Arial"/>
              </w:rPr>
            </w:pPr>
            <w:r w:rsidRPr="00477CDF">
              <w:rPr>
                <w:rFonts w:ascii="Arial" w:hAnsi="Arial" w:cs="Arial"/>
              </w:rPr>
              <w:t>SEHSCT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NHSCT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WHSCT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SHSCT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BHSCT</w:t>
            </w:r>
          </w:p>
        </w:tc>
      </w:tr>
      <w:tr w:rsidR="00477CDF" w:rsidRPr="00477CDF" w:rsidTr="00792EEF">
        <w:tc>
          <w:tcPr>
            <w:tcW w:w="1502" w:type="dxa"/>
          </w:tcPr>
          <w:p w:rsidR="00477CDF" w:rsidRPr="00477CDF" w:rsidRDefault="00477CDF" w:rsidP="00674DF8">
            <w:pPr>
              <w:pStyle w:val="NoSpacing"/>
              <w:rPr>
                <w:rFonts w:ascii="Arial" w:hAnsi="Arial" w:cs="Arial"/>
              </w:rPr>
            </w:pPr>
            <w:r w:rsidRPr="00477CDF">
              <w:rPr>
                <w:rFonts w:ascii="Arial" w:hAnsi="Arial" w:cs="Arial"/>
              </w:rPr>
              <w:t>Lowest month</w:t>
            </w:r>
          </w:p>
        </w:tc>
        <w:tc>
          <w:tcPr>
            <w:tcW w:w="1502" w:type="dxa"/>
          </w:tcPr>
          <w:p w:rsidR="00477CDF" w:rsidRPr="00477CDF" w:rsidRDefault="00477CDF" w:rsidP="00674DF8">
            <w:pPr>
              <w:pStyle w:val="NoSpacing"/>
              <w:rPr>
                <w:rFonts w:ascii="Arial" w:hAnsi="Arial" w:cs="Arial"/>
              </w:rPr>
            </w:pPr>
            <w:r w:rsidRPr="00477CDF">
              <w:rPr>
                <w:rFonts w:ascii="Arial" w:hAnsi="Arial" w:cs="Arial"/>
              </w:rPr>
              <w:t>8.48%</w:t>
            </w:r>
          </w:p>
        </w:tc>
        <w:tc>
          <w:tcPr>
            <w:tcW w:w="1503" w:type="dxa"/>
          </w:tcPr>
          <w:p w:rsidR="00477CDF" w:rsidRPr="00477CDF" w:rsidRDefault="00477CDF" w:rsidP="00674DF8">
            <w:pPr>
              <w:pStyle w:val="NoSpacing"/>
              <w:rPr>
                <w:rFonts w:ascii="Arial" w:hAnsi="Arial" w:cs="Arial"/>
              </w:rPr>
            </w:pPr>
            <w:r w:rsidRPr="00477CDF">
              <w:rPr>
                <w:rFonts w:ascii="Arial" w:hAnsi="Arial" w:cs="Arial"/>
              </w:rPr>
              <w:t>11.25%</w:t>
            </w:r>
          </w:p>
        </w:tc>
        <w:tc>
          <w:tcPr>
            <w:tcW w:w="1503" w:type="dxa"/>
          </w:tcPr>
          <w:p w:rsidR="00477CDF" w:rsidRPr="00477CDF" w:rsidRDefault="00477CDF" w:rsidP="00674DF8">
            <w:pPr>
              <w:pStyle w:val="NoSpacing"/>
              <w:rPr>
                <w:rFonts w:ascii="Arial" w:hAnsi="Arial" w:cs="Arial"/>
              </w:rPr>
            </w:pPr>
            <w:r w:rsidRPr="00477CDF">
              <w:rPr>
                <w:rFonts w:ascii="Arial" w:hAnsi="Arial" w:cs="Arial"/>
              </w:rPr>
              <w:t>9.4%</w:t>
            </w:r>
          </w:p>
        </w:tc>
        <w:tc>
          <w:tcPr>
            <w:tcW w:w="1503" w:type="dxa"/>
          </w:tcPr>
          <w:p w:rsidR="00477CDF" w:rsidRPr="00477CDF" w:rsidRDefault="00477CDF" w:rsidP="00674DF8">
            <w:pPr>
              <w:pStyle w:val="NoSpacing"/>
              <w:rPr>
                <w:rFonts w:ascii="Arial" w:hAnsi="Arial" w:cs="Arial"/>
              </w:rPr>
            </w:pPr>
            <w:r w:rsidRPr="00477CDF">
              <w:rPr>
                <w:rFonts w:ascii="Arial" w:hAnsi="Arial" w:cs="Arial"/>
              </w:rPr>
              <w:t>5.17%</w:t>
            </w:r>
          </w:p>
        </w:tc>
        <w:tc>
          <w:tcPr>
            <w:tcW w:w="1503" w:type="dxa"/>
          </w:tcPr>
          <w:p w:rsidR="00477CDF" w:rsidRPr="00477CDF" w:rsidRDefault="00967DB5" w:rsidP="00674DF8">
            <w:pPr>
              <w:pStyle w:val="NoSpacing"/>
              <w:rPr>
                <w:rFonts w:ascii="Arial" w:hAnsi="Arial" w:cs="Arial"/>
              </w:rPr>
            </w:pPr>
            <w:r>
              <w:rPr>
                <w:rFonts w:ascii="Arial" w:hAnsi="Arial" w:cs="Arial"/>
              </w:rPr>
              <w:t>Not provided</w:t>
            </w:r>
          </w:p>
        </w:tc>
      </w:tr>
      <w:tr w:rsidR="00477CDF" w:rsidRPr="00477CDF" w:rsidTr="00792EEF">
        <w:tc>
          <w:tcPr>
            <w:tcW w:w="1502" w:type="dxa"/>
          </w:tcPr>
          <w:p w:rsidR="00477CDF" w:rsidRPr="00477CDF" w:rsidRDefault="00477CDF" w:rsidP="00674DF8">
            <w:pPr>
              <w:pStyle w:val="NoSpacing"/>
              <w:rPr>
                <w:rFonts w:ascii="Arial" w:hAnsi="Arial" w:cs="Arial"/>
              </w:rPr>
            </w:pPr>
            <w:r w:rsidRPr="00477CDF">
              <w:rPr>
                <w:rFonts w:ascii="Arial" w:hAnsi="Arial" w:cs="Arial"/>
              </w:rPr>
              <w:t>Highest month</w:t>
            </w:r>
          </w:p>
        </w:tc>
        <w:tc>
          <w:tcPr>
            <w:tcW w:w="1502" w:type="dxa"/>
          </w:tcPr>
          <w:p w:rsidR="00477CDF" w:rsidRPr="00477CDF" w:rsidRDefault="00477CDF" w:rsidP="00674DF8">
            <w:pPr>
              <w:pStyle w:val="NoSpacing"/>
              <w:rPr>
                <w:rFonts w:ascii="Arial" w:hAnsi="Arial" w:cs="Arial"/>
              </w:rPr>
            </w:pPr>
            <w:r w:rsidRPr="00477CDF">
              <w:rPr>
                <w:rFonts w:ascii="Arial" w:hAnsi="Arial" w:cs="Arial"/>
              </w:rPr>
              <w:t>13.72%</w:t>
            </w:r>
          </w:p>
        </w:tc>
        <w:tc>
          <w:tcPr>
            <w:tcW w:w="1503" w:type="dxa"/>
          </w:tcPr>
          <w:p w:rsidR="00477CDF" w:rsidRPr="00477CDF" w:rsidRDefault="00477CDF" w:rsidP="00674DF8">
            <w:pPr>
              <w:pStyle w:val="NoSpacing"/>
              <w:rPr>
                <w:rFonts w:ascii="Arial" w:hAnsi="Arial" w:cs="Arial"/>
              </w:rPr>
            </w:pPr>
            <w:r w:rsidRPr="00477CDF">
              <w:rPr>
                <w:rFonts w:ascii="Arial" w:hAnsi="Arial" w:cs="Arial"/>
              </w:rPr>
              <w:t>15.25%</w:t>
            </w:r>
          </w:p>
        </w:tc>
        <w:tc>
          <w:tcPr>
            <w:tcW w:w="1503" w:type="dxa"/>
          </w:tcPr>
          <w:p w:rsidR="00477CDF" w:rsidRPr="00477CDF" w:rsidRDefault="00477CDF" w:rsidP="00674DF8">
            <w:pPr>
              <w:pStyle w:val="NoSpacing"/>
              <w:rPr>
                <w:rFonts w:ascii="Arial" w:hAnsi="Arial" w:cs="Arial"/>
              </w:rPr>
            </w:pPr>
            <w:r w:rsidRPr="00477CDF">
              <w:rPr>
                <w:rFonts w:ascii="Arial" w:hAnsi="Arial" w:cs="Arial"/>
              </w:rPr>
              <w:t>13.73%</w:t>
            </w:r>
          </w:p>
        </w:tc>
        <w:tc>
          <w:tcPr>
            <w:tcW w:w="1503" w:type="dxa"/>
          </w:tcPr>
          <w:p w:rsidR="00477CDF" w:rsidRPr="00477CDF" w:rsidRDefault="00477CDF" w:rsidP="00674DF8">
            <w:pPr>
              <w:pStyle w:val="NoSpacing"/>
              <w:rPr>
                <w:rFonts w:ascii="Arial" w:hAnsi="Arial" w:cs="Arial"/>
              </w:rPr>
            </w:pPr>
            <w:r w:rsidRPr="00477CDF">
              <w:rPr>
                <w:rFonts w:ascii="Arial" w:hAnsi="Arial" w:cs="Arial"/>
              </w:rPr>
              <w:t>12.81%</w:t>
            </w:r>
          </w:p>
        </w:tc>
        <w:tc>
          <w:tcPr>
            <w:tcW w:w="1503" w:type="dxa"/>
          </w:tcPr>
          <w:p w:rsidR="00477CDF" w:rsidRPr="00477CDF" w:rsidRDefault="00967DB5" w:rsidP="00674DF8">
            <w:pPr>
              <w:pStyle w:val="NoSpacing"/>
              <w:rPr>
                <w:rFonts w:ascii="Arial" w:hAnsi="Arial" w:cs="Arial"/>
              </w:rPr>
            </w:pPr>
            <w:r>
              <w:rPr>
                <w:rFonts w:ascii="Arial" w:hAnsi="Arial" w:cs="Arial"/>
              </w:rPr>
              <w:t>Not provided</w:t>
            </w:r>
          </w:p>
        </w:tc>
      </w:tr>
    </w:tbl>
    <w:p w:rsidR="00477CDF" w:rsidRPr="00477CDF" w:rsidRDefault="00477CDF" w:rsidP="00674DF8">
      <w:pPr>
        <w:pStyle w:val="NoSpacing"/>
        <w:rPr>
          <w:rFonts w:ascii="Arial" w:hAnsi="Arial" w:cs="Arial"/>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477CDF" w:rsidRPr="00477CDF" w:rsidTr="00792EEF">
        <w:tc>
          <w:tcPr>
            <w:tcW w:w="1502" w:type="dxa"/>
            <w:shd w:val="clear" w:color="auto" w:fill="BFBFBF" w:themeFill="background1" w:themeFillShade="BF"/>
          </w:tcPr>
          <w:p w:rsidR="00477CDF" w:rsidRPr="00477CDF" w:rsidRDefault="00477CDF" w:rsidP="00674DF8">
            <w:pPr>
              <w:pStyle w:val="NoSpacing"/>
              <w:rPr>
                <w:rFonts w:ascii="Arial" w:hAnsi="Arial" w:cs="Arial"/>
              </w:rPr>
            </w:pPr>
            <w:r w:rsidRPr="00477CDF">
              <w:rPr>
                <w:rFonts w:ascii="Arial" w:hAnsi="Arial" w:cs="Arial"/>
              </w:rPr>
              <w:t>Band 3</w:t>
            </w:r>
          </w:p>
        </w:tc>
        <w:tc>
          <w:tcPr>
            <w:tcW w:w="1502" w:type="dxa"/>
          </w:tcPr>
          <w:p w:rsidR="00477CDF" w:rsidRPr="00477CDF" w:rsidRDefault="00477CDF" w:rsidP="00674DF8">
            <w:pPr>
              <w:pStyle w:val="NoSpacing"/>
              <w:rPr>
                <w:rFonts w:ascii="Arial" w:hAnsi="Arial" w:cs="Arial"/>
              </w:rPr>
            </w:pPr>
            <w:r w:rsidRPr="00477CDF">
              <w:rPr>
                <w:rFonts w:ascii="Arial" w:hAnsi="Arial" w:cs="Arial"/>
              </w:rPr>
              <w:t>SEHSCT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NHSCT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WHSCT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SHSCT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BHSCT</w:t>
            </w:r>
          </w:p>
        </w:tc>
      </w:tr>
      <w:tr w:rsidR="00477CDF" w:rsidRPr="00477CDF" w:rsidTr="00792EEF">
        <w:tc>
          <w:tcPr>
            <w:tcW w:w="1502" w:type="dxa"/>
          </w:tcPr>
          <w:p w:rsidR="00477CDF" w:rsidRPr="00477CDF" w:rsidRDefault="00477CDF" w:rsidP="00674DF8">
            <w:pPr>
              <w:pStyle w:val="NoSpacing"/>
              <w:rPr>
                <w:rFonts w:ascii="Arial" w:hAnsi="Arial" w:cs="Arial"/>
              </w:rPr>
            </w:pPr>
            <w:r w:rsidRPr="00477CDF">
              <w:rPr>
                <w:rFonts w:ascii="Arial" w:hAnsi="Arial" w:cs="Arial"/>
              </w:rPr>
              <w:t>Lowest month</w:t>
            </w:r>
          </w:p>
        </w:tc>
        <w:tc>
          <w:tcPr>
            <w:tcW w:w="1502" w:type="dxa"/>
          </w:tcPr>
          <w:p w:rsidR="00477CDF" w:rsidRPr="00477CDF" w:rsidRDefault="00477CDF" w:rsidP="00674DF8">
            <w:pPr>
              <w:pStyle w:val="NoSpacing"/>
              <w:rPr>
                <w:rFonts w:ascii="Arial" w:hAnsi="Arial" w:cs="Arial"/>
              </w:rPr>
            </w:pPr>
            <w:r w:rsidRPr="00477CDF">
              <w:rPr>
                <w:rFonts w:ascii="Arial" w:hAnsi="Arial" w:cs="Arial"/>
              </w:rPr>
              <w:t>6.13%</w:t>
            </w:r>
          </w:p>
        </w:tc>
        <w:tc>
          <w:tcPr>
            <w:tcW w:w="1503" w:type="dxa"/>
          </w:tcPr>
          <w:p w:rsidR="00477CDF" w:rsidRPr="00477CDF" w:rsidRDefault="00477CDF" w:rsidP="00674DF8">
            <w:pPr>
              <w:pStyle w:val="NoSpacing"/>
              <w:rPr>
                <w:rFonts w:ascii="Arial" w:hAnsi="Arial" w:cs="Arial"/>
              </w:rPr>
            </w:pPr>
            <w:r w:rsidRPr="00477CDF">
              <w:rPr>
                <w:rFonts w:ascii="Arial" w:hAnsi="Arial" w:cs="Arial"/>
              </w:rPr>
              <w:t>8.45%</w:t>
            </w:r>
          </w:p>
        </w:tc>
        <w:tc>
          <w:tcPr>
            <w:tcW w:w="1503" w:type="dxa"/>
          </w:tcPr>
          <w:p w:rsidR="00477CDF" w:rsidRPr="00477CDF" w:rsidRDefault="00477CDF" w:rsidP="00674DF8">
            <w:pPr>
              <w:pStyle w:val="NoSpacing"/>
              <w:rPr>
                <w:rFonts w:ascii="Arial" w:hAnsi="Arial" w:cs="Arial"/>
              </w:rPr>
            </w:pPr>
            <w:r w:rsidRPr="00477CDF">
              <w:rPr>
                <w:rFonts w:ascii="Arial" w:hAnsi="Arial" w:cs="Arial"/>
              </w:rPr>
              <w:t>8.54%</w:t>
            </w:r>
          </w:p>
        </w:tc>
        <w:tc>
          <w:tcPr>
            <w:tcW w:w="1503" w:type="dxa"/>
          </w:tcPr>
          <w:p w:rsidR="00477CDF" w:rsidRPr="00477CDF" w:rsidRDefault="00477CDF" w:rsidP="00674DF8">
            <w:pPr>
              <w:pStyle w:val="NoSpacing"/>
              <w:rPr>
                <w:rFonts w:ascii="Arial" w:hAnsi="Arial" w:cs="Arial"/>
              </w:rPr>
            </w:pPr>
            <w:r w:rsidRPr="00477CDF">
              <w:rPr>
                <w:rFonts w:ascii="Arial" w:hAnsi="Arial" w:cs="Arial"/>
              </w:rPr>
              <w:t>6.71%</w:t>
            </w:r>
          </w:p>
        </w:tc>
        <w:tc>
          <w:tcPr>
            <w:tcW w:w="1503" w:type="dxa"/>
          </w:tcPr>
          <w:p w:rsidR="00477CDF" w:rsidRPr="00477CDF" w:rsidRDefault="00477CDF" w:rsidP="00674DF8">
            <w:pPr>
              <w:pStyle w:val="NoSpacing"/>
              <w:rPr>
                <w:rFonts w:ascii="Arial" w:hAnsi="Arial" w:cs="Arial"/>
              </w:rPr>
            </w:pPr>
            <w:r w:rsidRPr="00477CDF">
              <w:rPr>
                <w:rFonts w:ascii="Arial" w:hAnsi="Arial" w:cs="Arial"/>
              </w:rPr>
              <w:t>10.29%</w:t>
            </w:r>
          </w:p>
        </w:tc>
      </w:tr>
      <w:tr w:rsidR="00477CDF" w:rsidRPr="00477CDF" w:rsidTr="00792EEF">
        <w:tc>
          <w:tcPr>
            <w:tcW w:w="1502" w:type="dxa"/>
          </w:tcPr>
          <w:p w:rsidR="00477CDF" w:rsidRPr="00477CDF" w:rsidRDefault="00477CDF" w:rsidP="00674DF8">
            <w:pPr>
              <w:pStyle w:val="NoSpacing"/>
              <w:rPr>
                <w:rFonts w:ascii="Arial" w:hAnsi="Arial" w:cs="Arial"/>
              </w:rPr>
            </w:pPr>
            <w:r w:rsidRPr="00477CDF">
              <w:rPr>
                <w:rFonts w:ascii="Arial" w:hAnsi="Arial" w:cs="Arial"/>
              </w:rPr>
              <w:t>Highest month</w:t>
            </w:r>
          </w:p>
        </w:tc>
        <w:tc>
          <w:tcPr>
            <w:tcW w:w="1502" w:type="dxa"/>
          </w:tcPr>
          <w:p w:rsidR="00477CDF" w:rsidRPr="00477CDF" w:rsidRDefault="00477CDF" w:rsidP="00674DF8">
            <w:pPr>
              <w:pStyle w:val="NoSpacing"/>
              <w:rPr>
                <w:rFonts w:ascii="Arial" w:hAnsi="Arial" w:cs="Arial"/>
              </w:rPr>
            </w:pPr>
            <w:r w:rsidRPr="00477CDF">
              <w:rPr>
                <w:rFonts w:ascii="Arial" w:hAnsi="Arial" w:cs="Arial"/>
              </w:rPr>
              <w:t>10.43%</w:t>
            </w:r>
          </w:p>
        </w:tc>
        <w:tc>
          <w:tcPr>
            <w:tcW w:w="1503" w:type="dxa"/>
          </w:tcPr>
          <w:p w:rsidR="00477CDF" w:rsidRPr="00477CDF" w:rsidRDefault="00477CDF" w:rsidP="00674DF8">
            <w:pPr>
              <w:pStyle w:val="NoSpacing"/>
              <w:rPr>
                <w:rFonts w:ascii="Arial" w:hAnsi="Arial" w:cs="Arial"/>
              </w:rPr>
            </w:pPr>
            <w:r w:rsidRPr="00477CDF">
              <w:rPr>
                <w:rFonts w:ascii="Arial" w:hAnsi="Arial" w:cs="Arial"/>
              </w:rPr>
              <w:t>13.11%</w:t>
            </w:r>
          </w:p>
        </w:tc>
        <w:tc>
          <w:tcPr>
            <w:tcW w:w="1503" w:type="dxa"/>
          </w:tcPr>
          <w:p w:rsidR="00477CDF" w:rsidRPr="00477CDF" w:rsidRDefault="00477CDF" w:rsidP="00674DF8">
            <w:pPr>
              <w:pStyle w:val="NoSpacing"/>
              <w:rPr>
                <w:rFonts w:ascii="Arial" w:hAnsi="Arial" w:cs="Arial"/>
              </w:rPr>
            </w:pPr>
            <w:r w:rsidRPr="00477CDF">
              <w:rPr>
                <w:rFonts w:ascii="Arial" w:hAnsi="Arial" w:cs="Arial"/>
              </w:rPr>
              <w:t>13.3%</w:t>
            </w:r>
          </w:p>
        </w:tc>
        <w:tc>
          <w:tcPr>
            <w:tcW w:w="1503" w:type="dxa"/>
          </w:tcPr>
          <w:p w:rsidR="00477CDF" w:rsidRPr="00477CDF" w:rsidRDefault="00477CDF" w:rsidP="00674DF8">
            <w:pPr>
              <w:pStyle w:val="NoSpacing"/>
              <w:rPr>
                <w:rFonts w:ascii="Arial" w:hAnsi="Arial" w:cs="Arial"/>
              </w:rPr>
            </w:pPr>
            <w:r w:rsidRPr="00477CDF">
              <w:rPr>
                <w:rFonts w:ascii="Arial" w:hAnsi="Arial" w:cs="Arial"/>
              </w:rPr>
              <w:t>9.32%</w:t>
            </w:r>
          </w:p>
        </w:tc>
        <w:tc>
          <w:tcPr>
            <w:tcW w:w="1503" w:type="dxa"/>
          </w:tcPr>
          <w:p w:rsidR="00477CDF" w:rsidRPr="00477CDF" w:rsidRDefault="00477CDF" w:rsidP="00674DF8">
            <w:pPr>
              <w:pStyle w:val="NoSpacing"/>
              <w:rPr>
                <w:rFonts w:ascii="Arial" w:hAnsi="Arial" w:cs="Arial"/>
              </w:rPr>
            </w:pPr>
            <w:r w:rsidRPr="00477CDF">
              <w:rPr>
                <w:rFonts w:ascii="Arial" w:hAnsi="Arial" w:cs="Arial"/>
              </w:rPr>
              <w:t>13.55%</w:t>
            </w:r>
          </w:p>
        </w:tc>
      </w:tr>
    </w:tbl>
    <w:p w:rsidR="00477CDF" w:rsidRPr="00477CDF" w:rsidRDefault="00477CDF" w:rsidP="00674DF8">
      <w:pPr>
        <w:pStyle w:val="NoSpacing"/>
        <w:rPr>
          <w:rFonts w:ascii="Arial" w:hAnsi="Arial" w:cs="Arial"/>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477CDF" w:rsidRPr="00477CDF" w:rsidTr="00792EEF">
        <w:tc>
          <w:tcPr>
            <w:tcW w:w="1502" w:type="dxa"/>
            <w:shd w:val="clear" w:color="auto" w:fill="BFBFBF" w:themeFill="background1" w:themeFillShade="BF"/>
          </w:tcPr>
          <w:p w:rsidR="00477CDF" w:rsidRPr="00477CDF" w:rsidRDefault="00477CDF" w:rsidP="00674DF8">
            <w:pPr>
              <w:pStyle w:val="NoSpacing"/>
              <w:rPr>
                <w:rFonts w:ascii="Arial" w:hAnsi="Arial" w:cs="Arial"/>
              </w:rPr>
            </w:pPr>
            <w:r w:rsidRPr="00477CDF">
              <w:rPr>
                <w:rFonts w:ascii="Arial" w:hAnsi="Arial" w:cs="Arial"/>
              </w:rPr>
              <w:t>Band 5</w:t>
            </w:r>
          </w:p>
        </w:tc>
        <w:tc>
          <w:tcPr>
            <w:tcW w:w="1502" w:type="dxa"/>
          </w:tcPr>
          <w:p w:rsidR="00477CDF" w:rsidRPr="00477CDF" w:rsidRDefault="00477CDF" w:rsidP="00674DF8">
            <w:pPr>
              <w:pStyle w:val="NoSpacing"/>
              <w:rPr>
                <w:rFonts w:ascii="Arial" w:hAnsi="Arial" w:cs="Arial"/>
              </w:rPr>
            </w:pPr>
            <w:r w:rsidRPr="00477CDF">
              <w:rPr>
                <w:rFonts w:ascii="Arial" w:hAnsi="Arial" w:cs="Arial"/>
              </w:rPr>
              <w:t>SEHSCT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NHSCT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WHSCT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SHSCT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BHSCT</w:t>
            </w:r>
          </w:p>
        </w:tc>
      </w:tr>
      <w:tr w:rsidR="00477CDF" w:rsidRPr="00477CDF" w:rsidTr="00792EEF">
        <w:tc>
          <w:tcPr>
            <w:tcW w:w="1502" w:type="dxa"/>
          </w:tcPr>
          <w:p w:rsidR="00477CDF" w:rsidRPr="00477CDF" w:rsidRDefault="00477CDF" w:rsidP="00674DF8">
            <w:pPr>
              <w:pStyle w:val="NoSpacing"/>
              <w:rPr>
                <w:rFonts w:ascii="Arial" w:hAnsi="Arial" w:cs="Arial"/>
              </w:rPr>
            </w:pPr>
            <w:r w:rsidRPr="00477CDF">
              <w:rPr>
                <w:rFonts w:ascii="Arial" w:hAnsi="Arial" w:cs="Arial"/>
              </w:rPr>
              <w:t>Lowest month</w:t>
            </w:r>
          </w:p>
        </w:tc>
        <w:tc>
          <w:tcPr>
            <w:tcW w:w="1502" w:type="dxa"/>
          </w:tcPr>
          <w:p w:rsidR="00477CDF" w:rsidRPr="00477CDF" w:rsidRDefault="00477CDF" w:rsidP="00674DF8">
            <w:pPr>
              <w:pStyle w:val="NoSpacing"/>
              <w:rPr>
                <w:rFonts w:ascii="Arial" w:hAnsi="Arial" w:cs="Arial"/>
              </w:rPr>
            </w:pPr>
            <w:r w:rsidRPr="00477CDF">
              <w:rPr>
                <w:rFonts w:ascii="Arial" w:hAnsi="Arial" w:cs="Arial"/>
              </w:rPr>
              <w:t>5.72%</w:t>
            </w:r>
          </w:p>
        </w:tc>
        <w:tc>
          <w:tcPr>
            <w:tcW w:w="1503" w:type="dxa"/>
          </w:tcPr>
          <w:p w:rsidR="00477CDF" w:rsidRPr="00477CDF" w:rsidRDefault="00477CDF" w:rsidP="00674DF8">
            <w:pPr>
              <w:pStyle w:val="NoSpacing"/>
              <w:rPr>
                <w:rFonts w:ascii="Arial" w:hAnsi="Arial" w:cs="Arial"/>
              </w:rPr>
            </w:pPr>
            <w:r w:rsidRPr="00477CDF">
              <w:rPr>
                <w:rFonts w:ascii="Arial" w:hAnsi="Arial" w:cs="Arial"/>
              </w:rPr>
              <w:t>8.29%</w:t>
            </w:r>
          </w:p>
        </w:tc>
        <w:tc>
          <w:tcPr>
            <w:tcW w:w="1503" w:type="dxa"/>
          </w:tcPr>
          <w:p w:rsidR="00477CDF" w:rsidRPr="00477CDF" w:rsidRDefault="00477CDF" w:rsidP="00674DF8">
            <w:pPr>
              <w:pStyle w:val="NoSpacing"/>
              <w:rPr>
                <w:rFonts w:ascii="Arial" w:hAnsi="Arial" w:cs="Arial"/>
              </w:rPr>
            </w:pPr>
            <w:r w:rsidRPr="00477CDF">
              <w:rPr>
                <w:rFonts w:ascii="Arial" w:hAnsi="Arial" w:cs="Arial"/>
              </w:rPr>
              <w:t>6.5%</w:t>
            </w:r>
          </w:p>
        </w:tc>
        <w:tc>
          <w:tcPr>
            <w:tcW w:w="1503" w:type="dxa"/>
          </w:tcPr>
          <w:p w:rsidR="00477CDF" w:rsidRPr="00477CDF" w:rsidRDefault="00477CDF" w:rsidP="00674DF8">
            <w:pPr>
              <w:pStyle w:val="NoSpacing"/>
              <w:rPr>
                <w:rFonts w:ascii="Arial" w:hAnsi="Arial" w:cs="Arial"/>
              </w:rPr>
            </w:pPr>
            <w:r w:rsidRPr="00477CDF">
              <w:rPr>
                <w:rFonts w:ascii="Arial" w:hAnsi="Arial" w:cs="Arial"/>
              </w:rPr>
              <w:t>5.93%</w:t>
            </w:r>
          </w:p>
        </w:tc>
        <w:tc>
          <w:tcPr>
            <w:tcW w:w="1503" w:type="dxa"/>
          </w:tcPr>
          <w:p w:rsidR="00477CDF" w:rsidRPr="00477CDF" w:rsidRDefault="00477CDF" w:rsidP="00674DF8">
            <w:pPr>
              <w:pStyle w:val="NoSpacing"/>
              <w:rPr>
                <w:rFonts w:ascii="Arial" w:hAnsi="Arial" w:cs="Arial"/>
              </w:rPr>
            </w:pPr>
            <w:r w:rsidRPr="00477CDF">
              <w:rPr>
                <w:rFonts w:ascii="Arial" w:hAnsi="Arial" w:cs="Arial"/>
              </w:rPr>
              <w:t>6.42%</w:t>
            </w:r>
          </w:p>
        </w:tc>
      </w:tr>
      <w:tr w:rsidR="00477CDF" w:rsidRPr="00477CDF" w:rsidTr="00792EEF">
        <w:tc>
          <w:tcPr>
            <w:tcW w:w="1502" w:type="dxa"/>
          </w:tcPr>
          <w:p w:rsidR="00477CDF" w:rsidRPr="00477CDF" w:rsidRDefault="00477CDF" w:rsidP="00674DF8">
            <w:pPr>
              <w:pStyle w:val="NoSpacing"/>
              <w:rPr>
                <w:rFonts w:ascii="Arial" w:hAnsi="Arial" w:cs="Arial"/>
              </w:rPr>
            </w:pPr>
            <w:r w:rsidRPr="00477CDF">
              <w:rPr>
                <w:rFonts w:ascii="Arial" w:hAnsi="Arial" w:cs="Arial"/>
              </w:rPr>
              <w:t>Highest month</w:t>
            </w:r>
          </w:p>
        </w:tc>
        <w:tc>
          <w:tcPr>
            <w:tcW w:w="1502" w:type="dxa"/>
          </w:tcPr>
          <w:p w:rsidR="00477CDF" w:rsidRPr="00477CDF" w:rsidRDefault="00477CDF" w:rsidP="00674DF8">
            <w:pPr>
              <w:pStyle w:val="NoSpacing"/>
              <w:rPr>
                <w:rFonts w:ascii="Arial" w:hAnsi="Arial" w:cs="Arial"/>
              </w:rPr>
            </w:pPr>
            <w:r w:rsidRPr="00477CDF">
              <w:rPr>
                <w:rFonts w:ascii="Arial" w:hAnsi="Arial" w:cs="Arial"/>
              </w:rPr>
              <w:t>8.08%</w:t>
            </w:r>
          </w:p>
        </w:tc>
        <w:tc>
          <w:tcPr>
            <w:tcW w:w="1503" w:type="dxa"/>
          </w:tcPr>
          <w:p w:rsidR="00477CDF" w:rsidRPr="00477CDF" w:rsidRDefault="00477CDF" w:rsidP="00674DF8">
            <w:pPr>
              <w:pStyle w:val="NoSpacing"/>
              <w:rPr>
                <w:rFonts w:ascii="Arial" w:hAnsi="Arial" w:cs="Arial"/>
              </w:rPr>
            </w:pPr>
            <w:r w:rsidRPr="00477CDF">
              <w:rPr>
                <w:rFonts w:ascii="Arial" w:hAnsi="Arial" w:cs="Arial"/>
              </w:rPr>
              <w:t>10.59%</w:t>
            </w:r>
          </w:p>
        </w:tc>
        <w:tc>
          <w:tcPr>
            <w:tcW w:w="1503" w:type="dxa"/>
          </w:tcPr>
          <w:p w:rsidR="00477CDF" w:rsidRPr="00477CDF" w:rsidRDefault="00477CDF" w:rsidP="00674DF8">
            <w:pPr>
              <w:pStyle w:val="NoSpacing"/>
              <w:rPr>
                <w:rFonts w:ascii="Arial" w:hAnsi="Arial" w:cs="Arial"/>
              </w:rPr>
            </w:pPr>
            <w:r w:rsidRPr="00477CDF">
              <w:rPr>
                <w:rFonts w:ascii="Arial" w:hAnsi="Arial" w:cs="Arial"/>
              </w:rPr>
              <w:t>10.02%</w:t>
            </w:r>
          </w:p>
        </w:tc>
        <w:tc>
          <w:tcPr>
            <w:tcW w:w="1503" w:type="dxa"/>
          </w:tcPr>
          <w:p w:rsidR="00477CDF" w:rsidRPr="00477CDF" w:rsidRDefault="00477CDF" w:rsidP="00674DF8">
            <w:pPr>
              <w:pStyle w:val="NoSpacing"/>
              <w:rPr>
                <w:rFonts w:ascii="Arial" w:hAnsi="Arial" w:cs="Arial"/>
              </w:rPr>
            </w:pPr>
            <w:r w:rsidRPr="00477CDF">
              <w:rPr>
                <w:rFonts w:ascii="Arial" w:hAnsi="Arial" w:cs="Arial"/>
              </w:rPr>
              <w:t>7.4%</w:t>
            </w:r>
          </w:p>
        </w:tc>
        <w:tc>
          <w:tcPr>
            <w:tcW w:w="1503" w:type="dxa"/>
          </w:tcPr>
          <w:p w:rsidR="00477CDF" w:rsidRPr="00477CDF" w:rsidRDefault="00477CDF" w:rsidP="00674DF8">
            <w:pPr>
              <w:pStyle w:val="NoSpacing"/>
              <w:rPr>
                <w:rFonts w:ascii="Arial" w:hAnsi="Arial" w:cs="Arial"/>
              </w:rPr>
            </w:pPr>
            <w:r w:rsidRPr="00477CDF">
              <w:rPr>
                <w:rFonts w:ascii="Arial" w:hAnsi="Arial" w:cs="Arial"/>
              </w:rPr>
              <w:t>8.58%</w:t>
            </w:r>
          </w:p>
        </w:tc>
      </w:tr>
    </w:tbl>
    <w:p w:rsidR="00E40229" w:rsidRDefault="00E40229" w:rsidP="00674DF8">
      <w:pPr>
        <w:pStyle w:val="NoSpacing"/>
        <w:rPr>
          <w:rFonts w:ascii="Arial" w:hAnsi="Arial" w:cs="Arial"/>
        </w:rPr>
      </w:pPr>
    </w:p>
    <w:p w:rsidR="00DA5E64" w:rsidRDefault="00DA5E64" w:rsidP="00674DF8">
      <w:pPr>
        <w:pStyle w:val="NoSpacing"/>
        <w:rPr>
          <w:rFonts w:ascii="Arial" w:hAnsi="Arial" w:cs="Arial"/>
        </w:rPr>
      </w:pPr>
    </w:p>
    <w:p w:rsidR="00DA5E64" w:rsidRPr="00477CDF" w:rsidRDefault="00DA5E64" w:rsidP="00674DF8">
      <w:pPr>
        <w:pStyle w:val="NoSpacing"/>
        <w:rPr>
          <w:rFonts w:ascii="Arial" w:hAnsi="Arial" w:cs="Arial"/>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477CDF" w:rsidRPr="00477CDF" w:rsidTr="00792EEF">
        <w:tc>
          <w:tcPr>
            <w:tcW w:w="1502" w:type="dxa"/>
            <w:shd w:val="clear" w:color="auto" w:fill="BFBFBF" w:themeFill="background1" w:themeFillShade="BF"/>
          </w:tcPr>
          <w:p w:rsidR="00477CDF" w:rsidRPr="00477CDF" w:rsidRDefault="00477CDF" w:rsidP="00674DF8">
            <w:pPr>
              <w:pStyle w:val="NoSpacing"/>
              <w:rPr>
                <w:rFonts w:ascii="Arial" w:hAnsi="Arial" w:cs="Arial"/>
              </w:rPr>
            </w:pPr>
            <w:r w:rsidRPr="00477CDF">
              <w:rPr>
                <w:rFonts w:ascii="Arial" w:hAnsi="Arial" w:cs="Arial"/>
              </w:rPr>
              <w:t>Band 6</w:t>
            </w:r>
          </w:p>
        </w:tc>
        <w:tc>
          <w:tcPr>
            <w:tcW w:w="1502" w:type="dxa"/>
          </w:tcPr>
          <w:p w:rsidR="00477CDF" w:rsidRPr="00477CDF" w:rsidRDefault="00477CDF" w:rsidP="00674DF8">
            <w:pPr>
              <w:pStyle w:val="NoSpacing"/>
              <w:rPr>
                <w:rFonts w:ascii="Arial" w:hAnsi="Arial" w:cs="Arial"/>
              </w:rPr>
            </w:pPr>
            <w:r w:rsidRPr="00477CDF">
              <w:rPr>
                <w:rFonts w:ascii="Arial" w:hAnsi="Arial" w:cs="Arial"/>
              </w:rPr>
              <w:t>SEHSCT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NHSCT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WHSCT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SHSCT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BHSCT</w:t>
            </w:r>
          </w:p>
        </w:tc>
      </w:tr>
      <w:tr w:rsidR="00477CDF" w:rsidRPr="00477CDF" w:rsidTr="00792EEF">
        <w:tc>
          <w:tcPr>
            <w:tcW w:w="1502" w:type="dxa"/>
          </w:tcPr>
          <w:p w:rsidR="00477CDF" w:rsidRPr="00477CDF" w:rsidRDefault="00477CDF" w:rsidP="00674DF8">
            <w:pPr>
              <w:pStyle w:val="NoSpacing"/>
              <w:rPr>
                <w:rFonts w:ascii="Arial" w:hAnsi="Arial" w:cs="Arial"/>
              </w:rPr>
            </w:pPr>
            <w:r w:rsidRPr="00477CDF">
              <w:rPr>
                <w:rFonts w:ascii="Arial" w:hAnsi="Arial" w:cs="Arial"/>
              </w:rPr>
              <w:t>Lowest month</w:t>
            </w:r>
          </w:p>
        </w:tc>
        <w:tc>
          <w:tcPr>
            <w:tcW w:w="1502" w:type="dxa"/>
          </w:tcPr>
          <w:p w:rsidR="00477CDF" w:rsidRPr="00477CDF" w:rsidRDefault="00477CDF" w:rsidP="00674DF8">
            <w:pPr>
              <w:pStyle w:val="NoSpacing"/>
              <w:rPr>
                <w:rFonts w:ascii="Arial" w:hAnsi="Arial" w:cs="Arial"/>
              </w:rPr>
            </w:pPr>
            <w:r w:rsidRPr="00477CDF">
              <w:rPr>
                <w:rFonts w:ascii="Arial" w:hAnsi="Arial" w:cs="Arial"/>
              </w:rPr>
              <w:t>4.76%</w:t>
            </w:r>
          </w:p>
        </w:tc>
        <w:tc>
          <w:tcPr>
            <w:tcW w:w="1503" w:type="dxa"/>
          </w:tcPr>
          <w:p w:rsidR="00477CDF" w:rsidRPr="00477CDF" w:rsidRDefault="00477CDF" w:rsidP="00674DF8">
            <w:pPr>
              <w:pStyle w:val="NoSpacing"/>
              <w:rPr>
                <w:rFonts w:ascii="Arial" w:hAnsi="Arial" w:cs="Arial"/>
              </w:rPr>
            </w:pPr>
            <w:r w:rsidRPr="00477CDF">
              <w:rPr>
                <w:rFonts w:ascii="Arial" w:hAnsi="Arial" w:cs="Arial"/>
              </w:rPr>
              <w:t>7.62%</w:t>
            </w:r>
          </w:p>
        </w:tc>
        <w:tc>
          <w:tcPr>
            <w:tcW w:w="1503" w:type="dxa"/>
          </w:tcPr>
          <w:p w:rsidR="00477CDF" w:rsidRPr="00477CDF" w:rsidRDefault="00477CDF" w:rsidP="00674DF8">
            <w:pPr>
              <w:pStyle w:val="NoSpacing"/>
              <w:rPr>
                <w:rFonts w:ascii="Arial" w:hAnsi="Arial" w:cs="Arial"/>
              </w:rPr>
            </w:pPr>
            <w:r w:rsidRPr="00477CDF">
              <w:rPr>
                <w:rFonts w:ascii="Arial" w:hAnsi="Arial" w:cs="Arial"/>
              </w:rPr>
              <w:t>6.11%</w:t>
            </w:r>
          </w:p>
        </w:tc>
        <w:tc>
          <w:tcPr>
            <w:tcW w:w="1503" w:type="dxa"/>
          </w:tcPr>
          <w:p w:rsidR="00477CDF" w:rsidRPr="00477CDF" w:rsidRDefault="00477CDF" w:rsidP="00674DF8">
            <w:pPr>
              <w:pStyle w:val="NoSpacing"/>
              <w:rPr>
                <w:rFonts w:ascii="Arial" w:hAnsi="Arial" w:cs="Arial"/>
              </w:rPr>
            </w:pPr>
            <w:r w:rsidRPr="00477CDF">
              <w:rPr>
                <w:rFonts w:ascii="Arial" w:hAnsi="Arial" w:cs="Arial"/>
              </w:rPr>
              <w:t>5.06%</w:t>
            </w:r>
          </w:p>
        </w:tc>
        <w:tc>
          <w:tcPr>
            <w:tcW w:w="1503" w:type="dxa"/>
          </w:tcPr>
          <w:p w:rsidR="00477CDF" w:rsidRPr="00477CDF" w:rsidRDefault="00477CDF" w:rsidP="00674DF8">
            <w:pPr>
              <w:pStyle w:val="NoSpacing"/>
              <w:rPr>
                <w:rFonts w:ascii="Arial" w:hAnsi="Arial" w:cs="Arial"/>
              </w:rPr>
            </w:pPr>
            <w:r w:rsidRPr="00477CDF">
              <w:rPr>
                <w:rFonts w:ascii="Arial" w:hAnsi="Arial" w:cs="Arial"/>
              </w:rPr>
              <w:t>6.09%</w:t>
            </w:r>
          </w:p>
        </w:tc>
      </w:tr>
      <w:tr w:rsidR="00477CDF" w:rsidRPr="00477CDF" w:rsidTr="00792EEF">
        <w:tc>
          <w:tcPr>
            <w:tcW w:w="1502" w:type="dxa"/>
          </w:tcPr>
          <w:p w:rsidR="00477CDF" w:rsidRPr="00477CDF" w:rsidRDefault="00477CDF" w:rsidP="00674DF8">
            <w:pPr>
              <w:pStyle w:val="NoSpacing"/>
              <w:rPr>
                <w:rFonts w:ascii="Arial" w:hAnsi="Arial" w:cs="Arial"/>
              </w:rPr>
            </w:pPr>
            <w:r w:rsidRPr="00477CDF">
              <w:rPr>
                <w:rFonts w:ascii="Arial" w:hAnsi="Arial" w:cs="Arial"/>
              </w:rPr>
              <w:t>Highest month</w:t>
            </w:r>
          </w:p>
        </w:tc>
        <w:tc>
          <w:tcPr>
            <w:tcW w:w="1502" w:type="dxa"/>
          </w:tcPr>
          <w:p w:rsidR="00477CDF" w:rsidRPr="00477CDF" w:rsidRDefault="00477CDF" w:rsidP="00674DF8">
            <w:pPr>
              <w:pStyle w:val="NoSpacing"/>
              <w:rPr>
                <w:rFonts w:ascii="Arial" w:hAnsi="Arial" w:cs="Arial"/>
              </w:rPr>
            </w:pPr>
            <w:r w:rsidRPr="00477CDF">
              <w:rPr>
                <w:rFonts w:ascii="Arial" w:hAnsi="Arial" w:cs="Arial"/>
              </w:rPr>
              <w:t>8.80%</w:t>
            </w:r>
          </w:p>
        </w:tc>
        <w:tc>
          <w:tcPr>
            <w:tcW w:w="1503" w:type="dxa"/>
          </w:tcPr>
          <w:p w:rsidR="00477CDF" w:rsidRPr="00477CDF" w:rsidRDefault="00477CDF" w:rsidP="00674DF8">
            <w:pPr>
              <w:pStyle w:val="NoSpacing"/>
              <w:rPr>
                <w:rFonts w:ascii="Arial" w:hAnsi="Arial" w:cs="Arial"/>
              </w:rPr>
            </w:pPr>
            <w:r w:rsidRPr="00477CDF">
              <w:rPr>
                <w:rFonts w:ascii="Arial" w:hAnsi="Arial" w:cs="Arial"/>
              </w:rPr>
              <w:t>10.31%</w:t>
            </w:r>
          </w:p>
        </w:tc>
        <w:tc>
          <w:tcPr>
            <w:tcW w:w="1503" w:type="dxa"/>
          </w:tcPr>
          <w:p w:rsidR="00477CDF" w:rsidRPr="00477CDF" w:rsidRDefault="00477CDF" w:rsidP="00674DF8">
            <w:pPr>
              <w:pStyle w:val="NoSpacing"/>
              <w:rPr>
                <w:rFonts w:ascii="Arial" w:hAnsi="Arial" w:cs="Arial"/>
              </w:rPr>
            </w:pPr>
            <w:r w:rsidRPr="00477CDF">
              <w:rPr>
                <w:rFonts w:ascii="Arial" w:hAnsi="Arial" w:cs="Arial"/>
              </w:rPr>
              <w:t>9.15%</w:t>
            </w:r>
          </w:p>
        </w:tc>
        <w:tc>
          <w:tcPr>
            <w:tcW w:w="1503" w:type="dxa"/>
          </w:tcPr>
          <w:p w:rsidR="00477CDF" w:rsidRPr="00477CDF" w:rsidRDefault="00477CDF" w:rsidP="00674DF8">
            <w:pPr>
              <w:pStyle w:val="NoSpacing"/>
              <w:rPr>
                <w:rFonts w:ascii="Arial" w:hAnsi="Arial" w:cs="Arial"/>
              </w:rPr>
            </w:pPr>
            <w:r w:rsidRPr="00477CDF">
              <w:rPr>
                <w:rFonts w:ascii="Arial" w:hAnsi="Arial" w:cs="Arial"/>
              </w:rPr>
              <w:t>7.36%</w:t>
            </w:r>
          </w:p>
        </w:tc>
        <w:tc>
          <w:tcPr>
            <w:tcW w:w="1503" w:type="dxa"/>
          </w:tcPr>
          <w:p w:rsidR="00477CDF" w:rsidRPr="00477CDF" w:rsidRDefault="00477CDF" w:rsidP="00674DF8">
            <w:pPr>
              <w:pStyle w:val="NoSpacing"/>
              <w:rPr>
                <w:rFonts w:ascii="Arial" w:hAnsi="Arial" w:cs="Arial"/>
              </w:rPr>
            </w:pPr>
            <w:r w:rsidRPr="00477CDF">
              <w:rPr>
                <w:rFonts w:ascii="Arial" w:hAnsi="Arial" w:cs="Arial"/>
              </w:rPr>
              <w:t>8.15%</w:t>
            </w:r>
          </w:p>
        </w:tc>
      </w:tr>
    </w:tbl>
    <w:p w:rsidR="00477CDF" w:rsidRPr="00477CDF" w:rsidRDefault="00477CDF" w:rsidP="00674DF8">
      <w:pPr>
        <w:pStyle w:val="NoSpacing"/>
        <w:rPr>
          <w:rFonts w:ascii="Arial" w:hAnsi="Arial" w:cs="Arial"/>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477CDF" w:rsidRPr="00477CDF" w:rsidTr="00792EEF">
        <w:tc>
          <w:tcPr>
            <w:tcW w:w="1502" w:type="dxa"/>
            <w:shd w:val="clear" w:color="auto" w:fill="BFBFBF" w:themeFill="background1" w:themeFillShade="BF"/>
          </w:tcPr>
          <w:p w:rsidR="00477CDF" w:rsidRPr="00477CDF" w:rsidRDefault="00477CDF" w:rsidP="00674DF8">
            <w:pPr>
              <w:pStyle w:val="NoSpacing"/>
              <w:rPr>
                <w:rFonts w:ascii="Arial" w:hAnsi="Arial" w:cs="Arial"/>
              </w:rPr>
            </w:pPr>
            <w:r w:rsidRPr="00477CDF">
              <w:rPr>
                <w:rFonts w:ascii="Arial" w:hAnsi="Arial" w:cs="Arial"/>
              </w:rPr>
              <w:t>Band 7</w:t>
            </w:r>
          </w:p>
        </w:tc>
        <w:tc>
          <w:tcPr>
            <w:tcW w:w="1502" w:type="dxa"/>
          </w:tcPr>
          <w:p w:rsidR="00477CDF" w:rsidRPr="00477CDF" w:rsidRDefault="00477CDF" w:rsidP="00674DF8">
            <w:pPr>
              <w:pStyle w:val="NoSpacing"/>
              <w:rPr>
                <w:rFonts w:ascii="Arial" w:hAnsi="Arial" w:cs="Arial"/>
              </w:rPr>
            </w:pPr>
            <w:r w:rsidRPr="00477CDF">
              <w:rPr>
                <w:rFonts w:ascii="Arial" w:hAnsi="Arial" w:cs="Arial"/>
              </w:rPr>
              <w:t>SEHSCT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NHSCT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WHSCT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SHSCT</w:t>
            </w:r>
          </w:p>
        </w:tc>
        <w:tc>
          <w:tcPr>
            <w:tcW w:w="1503" w:type="dxa"/>
          </w:tcPr>
          <w:p w:rsidR="00477CDF" w:rsidRPr="00477CDF" w:rsidRDefault="00477CDF" w:rsidP="00674DF8">
            <w:pPr>
              <w:pStyle w:val="NoSpacing"/>
              <w:rPr>
                <w:rFonts w:ascii="Arial" w:hAnsi="Arial" w:cs="Arial"/>
              </w:rPr>
            </w:pPr>
            <w:r w:rsidRPr="00477CDF">
              <w:rPr>
                <w:rFonts w:ascii="Arial" w:hAnsi="Arial" w:cs="Arial"/>
              </w:rPr>
              <w:t>BHSCT</w:t>
            </w:r>
          </w:p>
        </w:tc>
      </w:tr>
      <w:tr w:rsidR="00477CDF" w:rsidRPr="00477CDF" w:rsidTr="00792EEF">
        <w:tc>
          <w:tcPr>
            <w:tcW w:w="1502" w:type="dxa"/>
          </w:tcPr>
          <w:p w:rsidR="00477CDF" w:rsidRPr="00477CDF" w:rsidRDefault="00477CDF" w:rsidP="00674DF8">
            <w:pPr>
              <w:pStyle w:val="NoSpacing"/>
              <w:rPr>
                <w:rFonts w:ascii="Arial" w:hAnsi="Arial" w:cs="Arial"/>
              </w:rPr>
            </w:pPr>
            <w:r w:rsidRPr="00477CDF">
              <w:rPr>
                <w:rFonts w:ascii="Arial" w:hAnsi="Arial" w:cs="Arial"/>
              </w:rPr>
              <w:t>Lowest month</w:t>
            </w:r>
          </w:p>
        </w:tc>
        <w:tc>
          <w:tcPr>
            <w:tcW w:w="1502" w:type="dxa"/>
          </w:tcPr>
          <w:p w:rsidR="00477CDF" w:rsidRPr="00477CDF" w:rsidRDefault="00477CDF" w:rsidP="00674DF8">
            <w:pPr>
              <w:pStyle w:val="NoSpacing"/>
              <w:rPr>
                <w:rFonts w:ascii="Arial" w:hAnsi="Arial" w:cs="Arial"/>
              </w:rPr>
            </w:pPr>
            <w:r w:rsidRPr="00477CDF">
              <w:rPr>
                <w:rFonts w:ascii="Arial" w:hAnsi="Arial" w:cs="Arial"/>
              </w:rPr>
              <w:t>3.28%</w:t>
            </w:r>
          </w:p>
        </w:tc>
        <w:tc>
          <w:tcPr>
            <w:tcW w:w="1503" w:type="dxa"/>
          </w:tcPr>
          <w:p w:rsidR="00477CDF" w:rsidRPr="00477CDF" w:rsidRDefault="00477CDF" w:rsidP="00674DF8">
            <w:pPr>
              <w:pStyle w:val="NoSpacing"/>
              <w:rPr>
                <w:rFonts w:ascii="Arial" w:hAnsi="Arial" w:cs="Arial"/>
              </w:rPr>
            </w:pPr>
            <w:r w:rsidRPr="00477CDF">
              <w:rPr>
                <w:rFonts w:ascii="Arial" w:hAnsi="Arial" w:cs="Arial"/>
              </w:rPr>
              <w:t>5.07%</w:t>
            </w:r>
          </w:p>
        </w:tc>
        <w:tc>
          <w:tcPr>
            <w:tcW w:w="1503" w:type="dxa"/>
          </w:tcPr>
          <w:p w:rsidR="00477CDF" w:rsidRPr="00477CDF" w:rsidRDefault="00477CDF" w:rsidP="00674DF8">
            <w:pPr>
              <w:pStyle w:val="NoSpacing"/>
              <w:rPr>
                <w:rFonts w:ascii="Arial" w:hAnsi="Arial" w:cs="Arial"/>
              </w:rPr>
            </w:pPr>
            <w:r w:rsidRPr="00477CDF">
              <w:rPr>
                <w:rFonts w:ascii="Arial" w:hAnsi="Arial" w:cs="Arial"/>
              </w:rPr>
              <w:t>4.55%</w:t>
            </w:r>
          </w:p>
        </w:tc>
        <w:tc>
          <w:tcPr>
            <w:tcW w:w="1503" w:type="dxa"/>
          </w:tcPr>
          <w:p w:rsidR="00477CDF" w:rsidRPr="00477CDF" w:rsidRDefault="00477CDF" w:rsidP="00674DF8">
            <w:pPr>
              <w:pStyle w:val="NoSpacing"/>
              <w:rPr>
                <w:rFonts w:ascii="Arial" w:hAnsi="Arial" w:cs="Arial"/>
              </w:rPr>
            </w:pPr>
            <w:r w:rsidRPr="00477CDF">
              <w:rPr>
                <w:rFonts w:ascii="Arial" w:hAnsi="Arial" w:cs="Arial"/>
              </w:rPr>
              <w:t>4.73%</w:t>
            </w:r>
          </w:p>
        </w:tc>
        <w:tc>
          <w:tcPr>
            <w:tcW w:w="1503" w:type="dxa"/>
          </w:tcPr>
          <w:p w:rsidR="00477CDF" w:rsidRPr="00477CDF" w:rsidRDefault="00477CDF" w:rsidP="00674DF8">
            <w:pPr>
              <w:pStyle w:val="NoSpacing"/>
              <w:rPr>
                <w:rFonts w:ascii="Arial" w:hAnsi="Arial" w:cs="Arial"/>
              </w:rPr>
            </w:pPr>
            <w:r w:rsidRPr="00477CDF">
              <w:rPr>
                <w:rFonts w:ascii="Arial" w:hAnsi="Arial" w:cs="Arial"/>
              </w:rPr>
              <w:t>4.2%</w:t>
            </w:r>
          </w:p>
        </w:tc>
      </w:tr>
      <w:tr w:rsidR="00477CDF" w:rsidRPr="00477CDF" w:rsidTr="00792EEF">
        <w:tc>
          <w:tcPr>
            <w:tcW w:w="1502" w:type="dxa"/>
          </w:tcPr>
          <w:p w:rsidR="00477CDF" w:rsidRPr="00477CDF" w:rsidRDefault="00477CDF" w:rsidP="00674DF8">
            <w:pPr>
              <w:pStyle w:val="NoSpacing"/>
              <w:rPr>
                <w:rFonts w:ascii="Arial" w:hAnsi="Arial" w:cs="Arial"/>
              </w:rPr>
            </w:pPr>
            <w:r w:rsidRPr="00477CDF">
              <w:rPr>
                <w:rFonts w:ascii="Arial" w:hAnsi="Arial" w:cs="Arial"/>
              </w:rPr>
              <w:t>Highest month</w:t>
            </w:r>
          </w:p>
        </w:tc>
        <w:tc>
          <w:tcPr>
            <w:tcW w:w="1502" w:type="dxa"/>
          </w:tcPr>
          <w:p w:rsidR="00477CDF" w:rsidRPr="00477CDF" w:rsidRDefault="00477CDF" w:rsidP="00674DF8">
            <w:pPr>
              <w:pStyle w:val="NoSpacing"/>
              <w:rPr>
                <w:rFonts w:ascii="Arial" w:hAnsi="Arial" w:cs="Arial"/>
              </w:rPr>
            </w:pPr>
            <w:r w:rsidRPr="00477CDF">
              <w:rPr>
                <w:rFonts w:ascii="Arial" w:hAnsi="Arial" w:cs="Arial"/>
              </w:rPr>
              <w:t>6.88%</w:t>
            </w:r>
          </w:p>
        </w:tc>
        <w:tc>
          <w:tcPr>
            <w:tcW w:w="1503" w:type="dxa"/>
          </w:tcPr>
          <w:p w:rsidR="00477CDF" w:rsidRPr="00477CDF" w:rsidRDefault="00477CDF" w:rsidP="00674DF8">
            <w:pPr>
              <w:pStyle w:val="NoSpacing"/>
              <w:rPr>
                <w:rFonts w:ascii="Arial" w:hAnsi="Arial" w:cs="Arial"/>
              </w:rPr>
            </w:pPr>
            <w:r w:rsidRPr="00477CDF">
              <w:rPr>
                <w:rFonts w:ascii="Arial" w:hAnsi="Arial" w:cs="Arial"/>
              </w:rPr>
              <w:t>9.88%</w:t>
            </w:r>
          </w:p>
        </w:tc>
        <w:tc>
          <w:tcPr>
            <w:tcW w:w="1503" w:type="dxa"/>
          </w:tcPr>
          <w:p w:rsidR="00477CDF" w:rsidRPr="00477CDF" w:rsidRDefault="00477CDF" w:rsidP="00674DF8">
            <w:pPr>
              <w:pStyle w:val="NoSpacing"/>
              <w:rPr>
                <w:rFonts w:ascii="Arial" w:hAnsi="Arial" w:cs="Arial"/>
              </w:rPr>
            </w:pPr>
            <w:r w:rsidRPr="00477CDF">
              <w:rPr>
                <w:rFonts w:ascii="Arial" w:hAnsi="Arial" w:cs="Arial"/>
              </w:rPr>
              <w:t>7.1%</w:t>
            </w:r>
          </w:p>
        </w:tc>
        <w:tc>
          <w:tcPr>
            <w:tcW w:w="1503" w:type="dxa"/>
          </w:tcPr>
          <w:p w:rsidR="00477CDF" w:rsidRPr="00477CDF" w:rsidRDefault="00477CDF" w:rsidP="00674DF8">
            <w:pPr>
              <w:pStyle w:val="NoSpacing"/>
              <w:rPr>
                <w:rFonts w:ascii="Arial" w:hAnsi="Arial" w:cs="Arial"/>
              </w:rPr>
            </w:pPr>
            <w:r w:rsidRPr="00477CDF">
              <w:rPr>
                <w:rFonts w:ascii="Arial" w:hAnsi="Arial" w:cs="Arial"/>
              </w:rPr>
              <w:t>7.02%</w:t>
            </w:r>
          </w:p>
        </w:tc>
        <w:tc>
          <w:tcPr>
            <w:tcW w:w="1503" w:type="dxa"/>
          </w:tcPr>
          <w:p w:rsidR="00477CDF" w:rsidRPr="00477CDF" w:rsidRDefault="00477CDF" w:rsidP="00674DF8">
            <w:pPr>
              <w:pStyle w:val="NoSpacing"/>
              <w:rPr>
                <w:rFonts w:ascii="Arial" w:hAnsi="Arial" w:cs="Arial"/>
              </w:rPr>
            </w:pPr>
            <w:r w:rsidRPr="00477CDF">
              <w:rPr>
                <w:rFonts w:ascii="Arial" w:hAnsi="Arial" w:cs="Arial"/>
              </w:rPr>
              <w:t>6.51%</w:t>
            </w:r>
          </w:p>
        </w:tc>
      </w:tr>
    </w:tbl>
    <w:p w:rsidR="00477CDF" w:rsidRPr="00477CDF" w:rsidRDefault="00477CDF" w:rsidP="00674DF8"/>
    <w:p w:rsidR="00477CDF" w:rsidRDefault="008A7A13" w:rsidP="00674DF8">
      <w:r>
        <w:t xml:space="preserve">On 17 January 2016, </w:t>
      </w:r>
      <w:r w:rsidR="00477CDF" w:rsidRPr="00CB0B1A">
        <w:t>the Belfast Telegraph reported that staff sickness across the health service in</w:t>
      </w:r>
      <w:r w:rsidR="009260FC">
        <w:t xml:space="preserve"> Northern Ireland cost £107</w:t>
      </w:r>
      <w:r w:rsidR="00477CDF" w:rsidRPr="00CB0B1A">
        <w:t xml:space="preserve"> million during 2014-2015. The information was published in response to</w:t>
      </w:r>
      <w:r w:rsidR="00CB0B1A">
        <w:t xml:space="preserve"> a series of Assembly questions.</w:t>
      </w:r>
    </w:p>
    <w:p w:rsidR="00CB0B1A" w:rsidRDefault="00477CDF" w:rsidP="00674DF8">
      <w:r w:rsidRPr="00CB0B1A">
        <w:t>From FOI inf</w:t>
      </w:r>
      <w:r w:rsidR="00D1674D">
        <w:t xml:space="preserve">ormation, the RCN is aware </w:t>
      </w:r>
      <w:r w:rsidRPr="00CB0B1A">
        <w:t xml:space="preserve">that stress and related mental </w:t>
      </w:r>
      <w:proofErr w:type="gramStart"/>
      <w:r w:rsidRPr="00CB0B1A">
        <w:t>ill-health</w:t>
      </w:r>
      <w:proofErr w:type="gramEnd"/>
      <w:r w:rsidRPr="00CB0B1A">
        <w:t xml:space="preserve"> is the single biggest cause of sickness absence in the HSC and its prevalence is particularly high among nursing staff. Pressure at work can be motivating and stimulating </w:t>
      </w:r>
      <w:proofErr w:type="gramStart"/>
      <w:r w:rsidRPr="00CB0B1A">
        <w:t>but,</w:t>
      </w:r>
      <w:proofErr w:type="gramEnd"/>
      <w:r w:rsidRPr="00CB0B1A">
        <w:t xml:space="preserve"> when it exceeds an individual’s ability to cope, this can lead to ill</w:t>
      </w:r>
      <w:r w:rsidR="00D1674D">
        <w:t>-</w:t>
      </w:r>
      <w:r w:rsidRPr="00CB0B1A">
        <w:t>health.</w:t>
      </w:r>
    </w:p>
    <w:p w:rsidR="00774A49" w:rsidRDefault="00774A49" w:rsidP="00674DF8"/>
    <w:p w:rsidR="00774A49" w:rsidRDefault="00774A49" w:rsidP="00674DF8"/>
    <w:p w:rsidR="00477CDF" w:rsidRDefault="00477CDF" w:rsidP="00674DF8">
      <w:r w:rsidRPr="00CB0B1A">
        <w:lastRenderedPageBreak/>
        <w:t xml:space="preserve">Cost-saving measures that result in vacancy freezes and slowing recruitment processes alongside increasing demand have taken their toll on the nursing profession. </w:t>
      </w:r>
      <w:r w:rsidR="00DA458C" w:rsidRPr="00CB0B1A">
        <w:t>Indeed, the RCN 2015 Employment Survey showed that 88% of respondents in Northern Ireland have worked at least once in the previous 12 months despite not feeling well enough to do so, with 18% having done so on five or more occasions. Half of all respondents stated they had worked between two and five times</w:t>
      </w:r>
      <w:r w:rsidR="00D1674D">
        <w:t>,</w:t>
      </w:r>
      <w:r w:rsidR="00DA458C" w:rsidRPr="00CB0B1A">
        <w:t xml:space="preserve"> despite feeling unwell. The overwhelming reason for feeling was work-related stress, with 49% of those having worked when unwell citing stress as the main factor. </w:t>
      </w:r>
    </w:p>
    <w:p w:rsidR="00587A84" w:rsidRDefault="006D24FC" w:rsidP="00674DF8">
      <w:r w:rsidRPr="00CB0B1A">
        <w:t xml:space="preserve">The level of pressure and heavy workloads is highlighted in the chart </w:t>
      </w:r>
      <w:proofErr w:type="gramStart"/>
      <w:r w:rsidRPr="00CB0B1A">
        <w:t>below,</w:t>
      </w:r>
      <w:proofErr w:type="gramEnd"/>
      <w:r w:rsidRPr="00CB0B1A">
        <w:t xml:space="preserve"> with 80% of respondents in Northern Ireland stating the</w:t>
      </w:r>
      <w:r w:rsidR="00D1674D">
        <w:t>y</w:t>
      </w:r>
      <w:r w:rsidRPr="00CB0B1A">
        <w:t xml:space="preserve"> feel under too much pressure at work (com</w:t>
      </w:r>
      <w:r w:rsidR="00D1674D">
        <w:t xml:space="preserve">pared with 69% across the UK). </w:t>
      </w:r>
      <w:r w:rsidRPr="00CB0B1A">
        <w:t>The same proportion state</w:t>
      </w:r>
      <w:r w:rsidR="00D1674D">
        <w:t>s</w:t>
      </w:r>
      <w:r w:rsidRPr="00CB0B1A">
        <w:t xml:space="preserve"> they are too busy to provide the level of care they would like to and a slightly lower number (76%) state</w:t>
      </w:r>
      <w:r w:rsidR="00D1674D">
        <w:t>s</w:t>
      </w:r>
      <w:r w:rsidRPr="00CB0B1A">
        <w:t xml:space="preserve"> that too much of their time is spent on non-nursing duties. </w:t>
      </w:r>
    </w:p>
    <w:p w:rsidR="00774A49" w:rsidRDefault="00774A49" w:rsidP="00674DF8"/>
    <w:p w:rsidR="00AB5656" w:rsidRDefault="006D24FC" w:rsidP="00587A84">
      <w:pPr>
        <w:jc w:val="center"/>
        <w:rPr>
          <w:noProof/>
        </w:rPr>
      </w:pPr>
      <w:r>
        <w:rPr>
          <w:noProof/>
          <w:lang w:val="en-US"/>
        </w:rPr>
        <w:drawing>
          <wp:inline distT="0" distB="0" distL="0" distR="0" wp14:anchorId="42AB8E15" wp14:editId="4A768BCD">
            <wp:extent cx="4314825" cy="23622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74A49" w:rsidRDefault="00774A49" w:rsidP="00587A84">
      <w:pPr>
        <w:jc w:val="center"/>
        <w:rPr>
          <w:noProof/>
        </w:rPr>
      </w:pPr>
    </w:p>
    <w:p w:rsidR="00D55E8D" w:rsidRPr="003C2657" w:rsidRDefault="00D55E8D" w:rsidP="003C2657">
      <w:pPr>
        <w:pStyle w:val="ListParagraph"/>
        <w:numPr>
          <w:ilvl w:val="0"/>
          <w:numId w:val="3"/>
        </w:numPr>
        <w:rPr>
          <w:b/>
          <w:sz w:val="24"/>
          <w:szCs w:val="24"/>
        </w:rPr>
      </w:pPr>
      <w:r w:rsidRPr="003C2657">
        <w:rPr>
          <w:b/>
          <w:sz w:val="24"/>
          <w:szCs w:val="24"/>
        </w:rPr>
        <w:t>Conclusion</w:t>
      </w:r>
    </w:p>
    <w:p w:rsidR="00D55E8D" w:rsidRDefault="00D55E8D" w:rsidP="0030254F">
      <w:pPr>
        <w:rPr>
          <w:noProof/>
        </w:rPr>
      </w:pPr>
      <w:r>
        <w:rPr>
          <w:noProof/>
        </w:rPr>
        <w:t xml:space="preserve">Cost saving measures that </w:t>
      </w:r>
      <w:r w:rsidR="00DA5E64">
        <w:rPr>
          <w:noProof/>
        </w:rPr>
        <w:t xml:space="preserve">have </w:t>
      </w:r>
      <w:r>
        <w:rPr>
          <w:noProof/>
        </w:rPr>
        <w:t>resulted in freezing vacant posts, slowing recruitment processes</w:t>
      </w:r>
      <w:r w:rsidR="00DA5E64">
        <w:rPr>
          <w:noProof/>
        </w:rPr>
        <w:t xml:space="preserve"> and </w:t>
      </w:r>
      <w:r>
        <w:rPr>
          <w:noProof/>
        </w:rPr>
        <w:t>employing and deploying nurses via nurse banks have resulted in increasing nurse vacancies and incre</w:t>
      </w:r>
      <w:r w:rsidR="00DA5E64">
        <w:rPr>
          <w:noProof/>
        </w:rPr>
        <w:t>asing pressure on nursing staff.</w:t>
      </w:r>
      <w:r>
        <w:rPr>
          <w:noProof/>
        </w:rPr>
        <w:t xml:space="preserve"> This is reflected in high sickness absence levels. </w:t>
      </w:r>
    </w:p>
    <w:p w:rsidR="00D55E8D" w:rsidRDefault="00D55E8D" w:rsidP="00D55E8D">
      <w:pPr>
        <w:rPr>
          <w:noProof/>
        </w:rPr>
      </w:pPr>
      <w:r>
        <w:rPr>
          <w:noProof/>
        </w:rPr>
        <w:t>The policy on pay pursued by the DHSSPS in recent years has in the judgement of the RCN intensified hardship felt by nursing staff.</w:t>
      </w:r>
    </w:p>
    <w:p w:rsidR="00DA5E64" w:rsidRDefault="00DA5E64" w:rsidP="0030254F">
      <w:pPr>
        <w:rPr>
          <w:noProof/>
        </w:rPr>
      </w:pPr>
      <w:r>
        <w:rPr>
          <w:noProof/>
        </w:rPr>
        <w:t>A combination of cost-saving measures and pay restraint are having a significant adverse impact on the nursing workforce in Northern Ireland.</w:t>
      </w:r>
    </w:p>
    <w:p w:rsidR="00D55E8D" w:rsidRPr="00477CDF" w:rsidRDefault="00D55E8D" w:rsidP="0030254F">
      <w:pPr>
        <w:rPr>
          <w:noProof/>
        </w:rPr>
      </w:pPr>
      <w:r>
        <w:rPr>
          <w:noProof/>
        </w:rPr>
        <w:t>The growing pay differe</w:t>
      </w:r>
      <w:r w:rsidR="00DA5E64">
        <w:rPr>
          <w:noProof/>
        </w:rPr>
        <w:t xml:space="preserve">ntials between Northern Ireland, </w:t>
      </w:r>
      <w:r>
        <w:rPr>
          <w:noProof/>
        </w:rPr>
        <w:t xml:space="preserve">England and Scotland </w:t>
      </w:r>
      <w:r w:rsidR="005E3B4A">
        <w:rPr>
          <w:noProof/>
        </w:rPr>
        <w:t xml:space="preserve">must be addressed if the health and social care system in Northern Ireland is to recruit and retain adequate numbers of nurses and nursing support staff required for the delivery of safe and effective nursing care to </w:t>
      </w:r>
      <w:r w:rsidR="00774A49">
        <w:rPr>
          <w:noProof/>
        </w:rPr>
        <w:t>the people of Northern Ireland.</w:t>
      </w:r>
    </w:p>
    <w:sectPr w:rsidR="00D55E8D" w:rsidRPr="00477CDF" w:rsidSect="003750A1">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CF" w:rsidRDefault="001937CF" w:rsidP="002D713A">
      <w:pPr>
        <w:spacing w:after="0" w:line="240" w:lineRule="auto"/>
      </w:pPr>
      <w:r>
        <w:separator/>
      </w:r>
    </w:p>
  </w:endnote>
  <w:endnote w:type="continuationSeparator" w:id="0">
    <w:p w:rsidR="001937CF" w:rsidRDefault="001937CF" w:rsidP="002D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Times New Roman Bold"/>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0C" w:rsidRPr="0011250C" w:rsidRDefault="003C03FE">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3750A1">
      <w:rPr>
        <w:noProof/>
        <w:sz w:val="16"/>
        <w:szCs w:val="16"/>
      </w:rPr>
      <w:t>RCN NI evidence Final version - February 2016</w:t>
    </w:r>
    <w:r>
      <w:rPr>
        <w:sz w:val="16"/>
        <w:szCs w:val="16"/>
      </w:rPr>
      <w:fldChar w:fldCharType="end"/>
    </w:r>
    <w:r w:rsidR="0011250C" w:rsidRPr="0011250C">
      <w:rPr>
        <w:sz w:val="16"/>
        <w:szCs w:val="16"/>
      </w:rPr>
      <w:ptab w:relativeTo="margin" w:alignment="center" w:leader="none"/>
    </w:r>
    <w:r w:rsidR="0011250C" w:rsidRPr="0011250C">
      <w:rPr>
        <w:sz w:val="16"/>
        <w:szCs w:val="16"/>
      </w:rPr>
      <w:t>1</w:t>
    </w:r>
    <w:r w:rsidR="003C2657">
      <w:rPr>
        <w:sz w:val="16"/>
        <w:szCs w:val="16"/>
      </w:rPr>
      <w:t>5</w:t>
    </w:r>
    <w:r w:rsidR="0011250C" w:rsidRPr="0011250C">
      <w:rPr>
        <w:sz w:val="16"/>
        <w:szCs w:val="16"/>
      </w:rPr>
      <w:t>/02/2016</w:t>
    </w:r>
    <w:r w:rsidR="0011250C" w:rsidRPr="0011250C">
      <w:rPr>
        <w:sz w:val="16"/>
        <w:szCs w:val="16"/>
      </w:rPr>
      <w:ptab w:relativeTo="margin" w:alignment="right" w:leader="none"/>
    </w:r>
    <w:r w:rsidR="0011250C" w:rsidRPr="0011250C">
      <w:rPr>
        <w:sz w:val="16"/>
        <w:szCs w:val="16"/>
      </w:rPr>
      <w:t xml:space="preserve">Page </w:t>
    </w:r>
    <w:r w:rsidR="0011250C" w:rsidRPr="0011250C">
      <w:rPr>
        <w:b/>
        <w:bCs/>
        <w:sz w:val="16"/>
        <w:szCs w:val="16"/>
      </w:rPr>
      <w:fldChar w:fldCharType="begin"/>
    </w:r>
    <w:r w:rsidR="0011250C" w:rsidRPr="0011250C">
      <w:rPr>
        <w:b/>
        <w:bCs/>
        <w:sz w:val="16"/>
        <w:szCs w:val="16"/>
      </w:rPr>
      <w:instrText xml:space="preserve"> PAGE  \* Arabic  \* MERGEFORMAT </w:instrText>
    </w:r>
    <w:r w:rsidR="0011250C" w:rsidRPr="0011250C">
      <w:rPr>
        <w:b/>
        <w:bCs/>
        <w:sz w:val="16"/>
        <w:szCs w:val="16"/>
      </w:rPr>
      <w:fldChar w:fldCharType="separate"/>
    </w:r>
    <w:r w:rsidR="0043550D">
      <w:rPr>
        <w:b/>
        <w:bCs/>
        <w:noProof/>
        <w:sz w:val="16"/>
        <w:szCs w:val="16"/>
      </w:rPr>
      <w:t>13</w:t>
    </w:r>
    <w:r w:rsidR="0011250C" w:rsidRPr="0011250C">
      <w:rPr>
        <w:b/>
        <w:bCs/>
        <w:sz w:val="16"/>
        <w:szCs w:val="16"/>
      </w:rPr>
      <w:fldChar w:fldCharType="end"/>
    </w:r>
    <w:r w:rsidR="0011250C" w:rsidRPr="0011250C">
      <w:rPr>
        <w:sz w:val="16"/>
        <w:szCs w:val="16"/>
      </w:rPr>
      <w:t xml:space="preserve"> of </w:t>
    </w:r>
    <w:r w:rsidR="0011250C" w:rsidRPr="0011250C">
      <w:rPr>
        <w:b/>
        <w:bCs/>
        <w:sz w:val="16"/>
        <w:szCs w:val="16"/>
      </w:rPr>
      <w:fldChar w:fldCharType="begin"/>
    </w:r>
    <w:r w:rsidR="0011250C" w:rsidRPr="0011250C">
      <w:rPr>
        <w:b/>
        <w:bCs/>
        <w:sz w:val="16"/>
        <w:szCs w:val="16"/>
      </w:rPr>
      <w:instrText xml:space="preserve"> NUMPAGES  \* Arabic  \* MERGEFORMAT </w:instrText>
    </w:r>
    <w:r w:rsidR="0011250C" w:rsidRPr="0011250C">
      <w:rPr>
        <w:b/>
        <w:bCs/>
        <w:sz w:val="16"/>
        <w:szCs w:val="16"/>
      </w:rPr>
      <w:fldChar w:fldCharType="separate"/>
    </w:r>
    <w:r w:rsidR="0043550D">
      <w:rPr>
        <w:b/>
        <w:bCs/>
        <w:noProof/>
        <w:sz w:val="16"/>
        <w:szCs w:val="16"/>
      </w:rPr>
      <w:t>13</w:t>
    </w:r>
    <w:r w:rsidR="0011250C" w:rsidRPr="0011250C">
      <w:rPr>
        <w:b/>
        <w:bCs/>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CF" w:rsidRDefault="001937CF" w:rsidP="002D713A">
      <w:pPr>
        <w:spacing w:after="0" w:line="240" w:lineRule="auto"/>
      </w:pPr>
      <w:r>
        <w:separator/>
      </w:r>
    </w:p>
  </w:footnote>
  <w:footnote w:type="continuationSeparator" w:id="0">
    <w:p w:rsidR="001937CF" w:rsidRDefault="001937CF" w:rsidP="002D713A">
      <w:pPr>
        <w:spacing w:after="0" w:line="240" w:lineRule="auto"/>
      </w:pPr>
      <w:r>
        <w:continuationSeparator/>
      </w:r>
    </w:p>
  </w:footnote>
  <w:footnote w:id="1">
    <w:p w:rsidR="001A3CE8" w:rsidRPr="00DC2C0B" w:rsidRDefault="001A3CE8" w:rsidP="001A3CE8">
      <w:pPr>
        <w:pStyle w:val="FootnoteText"/>
        <w:spacing w:after="0" w:line="240" w:lineRule="auto"/>
        <w:rPr>
          <w:rFonts w:asciiTheme="minorHAnsi" w:hAnsiTheme="minorHAnsi" w:cs="Arial"/>
          <w:bCs/>
          <w:iCs/>
        </w:rPr>
      </w:pPr>
      <w:r>
        <w:rPr>
          <w:rStyle w:val="FootnoteReference"/>
        </w:rPr>
        <w:footnoteRef/>
      </w:r>
      <w:r>
        <w:t xml:space="preserve"> </w:t>
      </w:r>
      <w:r w:rsidRPr="00DC2C0B">
        <w:rPr>
          <w:rFonts w:asciiTheme="minorHAnsi" w:hAnsiTheme="minorHAnsi"/>
        </w:rPr>
        <w:t xml:space="preserve">Institute for Fiscal Studies. </w:t>
      </w:r>
      <w:r w:rsidRPr="00DC2C0B">
        <w:rPr>
          <w:rFonts w:asciiTheme="minorHAnsi" w:hAnsiTheme="minorHAnsi" w:cs="Arial"/>
          <w:bCs/>
          <w:i/>
          <w:iCs/>
        </w:rPr>
        <w:t>The IFS Green Budget: February 2016</w:t>
      </w:r>
    </w:p>
    <w:p w:rsidR="001A3CE8" w:rsidRPr="00DC2C0B" w:rsidRDefault="001A3CE8" w:rsidP="001A3CE8">
      <w:pPr>
        <w:pStyle w:val="FootnoteText"/>
        <w:spacing w:after="0" w:line="240" w:lineRule="auto"/>
        <w:rPr>
          <w:rFonts w:asciiTheme="minorHAnsi" w:hAnsiTheme="minorHAnsi" w:cs="Arial"/>
          <w:bCs/>
          <w:iCs/>
        </w:rPr>
      </w:pPr>
      <w:proofErr w:type="gramStart"/>
      <w:r w:rsidRPr="00DC2C0B">
        <w:rPr>
          <w:rFonts w:asciiTheme="minorHAnsi" w:hAnsiTheme="minorHAnsi" w:cs="Arial"/>
          <w:bCs/>
          <w:iCs/>
        </w:rPr>
        <w:t>www.ifs.org.uk</w:t>
      </w:r>
      <w:proofErr w:type="gramEnd"/>
      <w:r w:rsidRPr="00DC2C0B">
        <w:rPr>
          <w:rFonts w:asciiTheme="minorHAnsi" w:hAnsiTheme="minorHAnsi" w:cs="Arial"/>
          <w:bCs/>
          <w:iCs/>
        </w:rPr>
        <w:t>/publications/8129</w:t>
      </w:r>
    </w:p>
    <w:p w:rsidR="001A3CE8" w:rsidRPr="001A3CE8" w:rsidRDefault="001A3CE8">
      <w:pPr>
        <w:pStyle w:val="FootnoteText"/>
        <w:rPr>
          <w:lang w:val="en-GB"/>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3BE3"/>
    <w:multiLevelType w:val="hybridMultilevel"/>
    <w:tmpl w:val="9E021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173E43"/>
    <w:multiLevelType w:val="hybridMultilevel"/>
    <w:tmpl w:val="ACCA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7B4333"/>
    <w:multiLevelType w:val="hybridMultilevel"/>
    <w:tmpl w:val="73CE18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3A"/>
    <w:rsid w:val="00046343"/>
    <w:rsid w:val="00077B8D"/>
    <w:rsid w:val="00095915"/>
    <w:rsid w:val="000B7A28"/>
    <w:rsid w:val="000E31AF"/>
    <w:rsid w:val="000F211C"/>
    <w:rsid w:val="0011250C"/>
    <w:rsid w:val="00140C1E"/>
    <w:rsid w:val="0014383F"/>
    <w:rsid w:val="001740A2"/>
    <w:rsid w:val="00181B2E"/>
    <w:rsid w:val="001911F2"/>
    <w:rsid w:val="001937CF"/>
    <w:rsid w:val="001A00F2"/>
    <w:rsid w:val="001A3CE8"/>
    <w:rsid w:val="00241BBB"/>
    <w:rsid w:val="00244C89"/>
    <w:rsid w:val="0026138D"/>
    <w:rsid w:val="002A6043"/>
    <w:rsid w:val="002B4889"/>
    <w:rsid w:val="002B606A"/>
    <w:rsid w:val="002C5A75"/>
    <w:rsid w:val="002D713A"/>
    <w:rsid w:val="0030254F"/>
    <w:rsid w:val="00353CF2"/>
    <w:rsid w:val="00357932"/>
    <w:rsid w:val="00361114"/>
    <w:rsid w:val="003750A1"/>
    <w:rsid w:val="003C03FE"/>
    <w:rsid w:val="003C2657"/>
    <w:rsid w:val="00411C6F"/>
    <w:rsid w:val="00427D0C"/>
    <w:rsid w:val="0043550D"/>
    <w:rsid w:val="004501E5"/>
    <w:rsid w:val="00477CDF"/>
    <w:rsid w:val="004B056A"/>
    <w:rsid w:val="004F2255"/>
    <w:rsid w:val="00511C37"/>
    <w:rsid w:val="0053148A"/>
    <w:rsid w:val="005324FD"/>
    <w:rsid w:val="00534A60"/>
    <w:rsid w:val="00541343"/>
    <w:rsid w:val="00587A84"/>
    <w:rsid w:val="005E3B4A"/>
    <w:rsid w:val="005E45FE"/>
    <w:rsid w:val="006035FC"/>
    <w:rsid w:val="00674DF8"/>
    <w:rsid w:val="00682617"/>
    <w:rsid w:val="006D24FC"/>
    <w:rsid w:val="006D736F"/>
    <w:rsid w:val="007447CC"/>
    <w:rsid w:val="00747864"/>
    <w:rsid w:val="00774A49"/>
    <w:rsid w:val="00821DA5"/>
    <w:rsid w:val="008238C3"/>
    <w:rsid w:val="008343D2"/>
    <w:rsid w:val="00842E17"/>
    <w:rsid w:val="0084310C"/>
    <w:rsid w:val="008A7A13"/>
    <w:rsid w:val="008F438E"/>
    <w:rsid w:val="00904FA1"/>
    <w:rsid w:val="009260FC"/>
    <w:rsid w:val="00936C82"/>
    <w:rsid w:val="0094018C"/>
    <w:rsid w:val="00967DB5"/>
    <w:rsid w:val="00987FA1"/>
    <w:rsid w:val="009A22F6"/>
    <w:rsid w:val="009D09EC"/>
    <w:rsid w:val="009D14CC"/>
    <w:rsid w:val="00AB5656"/>
    <w:rsid w:val="00AD76C9"/>
    <w:rsid w:val="00B37B2F"/>
    <w:rsid w:val="00B8397E"/>
    <w:rsid w:val="00B85F6A"/>
    <w:rsid w:val="00B96CD5"/>
    <w:rsid w:val="00BB22F2"/>
    <w:rsid w:val="00C738E2"/>
    <w:rsid w:val="00C763BC"/>
    <w:rsid w:val="00C875F5"/>
    <w:rsid w:val="00C90CEE"/>
    <w:rsid w:val="00CB0B1A"/>
    <w:rsid w:val="00CE11C7"/>
    <w:rsid w:val="00D1674D"/>
    <w:rsid w:val="00D55E8D"/>
    <w:rsid w:val="00D95B70"/>
    <w:rsid w:val="00DA458C"/>
    <w:rsid w:val="00DA5E64"/>
    <w:rsid w:val="00E065F2"/>
    <w:rsid w:val="00E40229"/>
    <w:rsid w:val="00E6525F"/>
    <w:rsid w:val="00EB0CB1"/>
    <w:rsid w:val="00EC5778"/>
    <w:rsid w:val="00F12C34"/>
    <w:rsid w:val="00FA6F97"/>
    <w:rsid w:val="00FD61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3A"/>
    <w:pPr>
      <w:spacing w:after="200" w:line="276" w:lineRule="auto"/>
    </w:pPr>
    <w:rPr>
      <w:rFonts w:ascii="Arial" w:hAnsi="Arial" w:cs="Arial"/>
    </w:rPr>
  </w:style>
  <w:style w:type="paragraph" w:styleId="Heading1">
    <w:name w:val="heading 1"/>
    <w:basedOn w:val="Normal"/>
    <w:link w:val="Heading1Char"/>
    <w:uiPriority w:val="9"/>
    <w:qFormat/>
    <w:rsid w:val="002D713A"/>
    <w:pPr>
      <w:spacing w:before="100" w:beforeAutospacing="1" w:after="100" w:afterAutospacing="1" w:line="240" w:lineRule="auto"/>
      <w:outlineLvl w:val="0"/>
    </w:pPr>
    <w:rPr>
      <w:rFonts w:ascii="Times New Roman" w:eastAsia="Times New Roman" w:hAnsi="Times New Roman" w:cs="Times New Roman"/>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13A"/>
    <w:rPr>
      <w:rFonts w:ascii="Times New Roman" w:eastAsia="Times New Roman" w:hAnsi="Times New Roman" w:cs="Times New Roman"/>
      <w:kern w:val="36"/>
      <w:sz w:val="24"/>
      <w:szCs w:val="24"/>
      <w:lang w:eastAsia="en-GB"/>
    </w:rPr>
  </w:style>
  <w:style w:type="paragraph" w:styleId="FootnoteText">
    <w:name w:val="footnote text"/>
    <w:basedOn w:val="Normal"/>
    <w:link w:val="FootnoteTextChar"/>
    <w:uiPriority w:val="99"/>
    <w:rsid w:val="002D713A"/>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rsid w:val="002D713A"/>
    <w:rPr>
      <w:rFonts w:ascii="Calibri" w:eastAsia="Calibri" w:hAnsi="Calibri" w:cs="Calibri"/>
      <w:sz w:val="20"/>
      <w:szCs w:val="20"/>
      <w:lang w:val="en-US"/>
    </w:rPr>
  </w:style>
  <w:style w:type="character" w:styleId="FootnoteReference">
    <w:name w:val="footnote reference"/>
    <w:basedOn w:val="DefaultParagraphFont"/>
    <w:uiPriority w:val="99"/>
    <w:rsid w:val="002D713A"/>
    <w:rPr>
      <w:vertAlign w:val="superscript"/>
    </w:rPr>
  </w:style>
  <w:style w:type="paragraph" w:styleId="NormalWeb">
    <w:name w:val="Normal (Web)"/>
    <w:basedOn w:val="Normal"/>
    <w:uiPriority w:val="99"/>
    <w:rsid w:val="002D71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140C1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B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77CDF"/>
    <w:pPr>
      <w:spacing w:after="0" w:line="240" w:lineRule="auto"/>
    </w:pPr>
  </w:style>
  <w:style w:type="character" w:customStyle="1" w:styleId="NoSpacingChar">
    <w:name w:val="No Spacing Char"/>
    <w:basedOn w:val="DefaultParagraphFont"/>
    <w:link w:val="NoSpacing"/>
    <w:uiPriority w:val="1"/>
    <w:rsid w:val="00477CDF"/>
  </w:style>
  <w:style w:type="paragraph" w:styleId="ListParagraph">
    <w:name w:val="List Paragraph"/>
    <w:basedOn w:val="Normal"/>
    <w:uiPriority w:val="34"/>
    <w:qFormat/>
    <w:rsid w:val="00541343"/>
    <w:pPr>
      <w:ind w:left="720"/>
      <w:contextualSpacing/>
    </w:pPr>
  </w:style>
  <w:style w:type="paragraph" w:styleId="Header">
    <w:name w:val="header"/>
    <w:basedOn w:val="Normal"/>
    <w:link w:val="HeaderChar"/>
    <w:uiPriority w:val="99"/>
    <w:unhideWhenUsed/>
    <w:rsid w:val="00112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50C"/>
    <w:rPr>
      <w:rFonts w:ascii="Arial" w:hAnsi="Arial" w:cs="Arial"/>
    </w:rPr>
  </w:style>
  <w:style w:type="paragraph" w:styleId="Footer">
    <w:name w:val="footer"/>
    <w:basedOn w:val="Normal"/>
    <w:link w:val="FooterChar"/>
    <w:uiPriority w:val="99"/>
    <w:unhideWhenUsed/>
    <w:rsid w:val="00112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50C"/>
    <w:rPr>
      <w:rFonts w:ascii="Arial" w:hAnsi="Arial" w:cs="Arial"/>
    </w:rPr>
  </w:style>
  <w:style w:type="character" w:styleId="PlaceholderText">
    <w:name w:val="Placeholder Text"/>
    <w:basedOn w:val="DefaultParagraphFont"/>
    <w:uiPriority w:val="99"/>
    <w:semiHidden/>
    <w:rsid w:val="0011250C"/>
    <w:rPr>
      <w:color w:val="808080"/>
    </w:rPr>
  </w:style>
  <w:style w:type="paragraph" w:styleId="BalloonText">
    <w:name w:val="Balloon Text"/>
    <w:basedOn w:val="Normal"/>
    <w:link w:val="BalloonTextChar"/>
    <w:uiPriority w:val="99"/>
    <w:semiHidden/>
    <w:unhideWhenUsed/>
    <w:rsid w:val="00BB2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2F2"/>
    <w:rPr>
      <w:rFonts w:ascii="Segoe UI" w:hAnsi="Segoe UI" w:cs="Segoe UI"/>
      <w:sz w:val="18"/>
      <w:szCs w:val="18"/>
    </w:rPr>
  </w:style>
  <w:style w:type="character" w:styleId="CommentReference">
    <w:name w:val="annotation reference"/>
    <w:basedOn w:val="DefaultParagraphFont"/>
    <w:uiPriority w:val="99"/>
    <w:semiHidden/>
    <w:unhideWhenUsed/>
    <w:rsid w:val="0014383F"/>
    <w:rPr>
      <w:sz w:val="16"/>
      <w:szCs w:val="16"/>
    </w:rPr>
  </w:style>
  <w:style w:type="paragraph" w:styleId="CommentText">
    <w:name w:val="annotation text"/>
    <w:basedOn w:val="Normal"/>
    <w:link w:val="CommentTextChar"/>
    <w:uiPriority w:val="99"/>
    <w:semiHidden/>
    <w:unhideWhenUsed/>
    <w:rsid w:val="0014383F"/>
    <w:pPr>
      <w:spacing w:line="240" w:lineRule="auto"/>
    </w:pPr>
    <w:rPr>
      <w:sz w:val="20"/>
      <w:szCs w:val="20"/>
    </w:rPr>
  </w:style>
  <w:style w:type="character" w:customStyle="1" w:styleId="CommentTextChar">
    <w:name w:val="Comment Text Char"/>
    <w:basedOn w:val="DefaultParagraphFont"/>
    <w:link w:val="CommentText"/>
    <w:uiPriority w:val="99"/>
    <w:semiHidden/>
    <w:rsid w:val="0014383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4383F"/>
    <w:rPr>
      <w:b/>
      <w:bCs/>
    </w:rPr>
  </w:style>
  <w:style w:type="character" w:customStyle="1" w:styleId="CommentSubjectChar">
    <w:name w:val="Comment Subject Char"/>
    <w:basedOn w:val="CommentTextChar"/>
    <w:link w:val="CommentSubject"/>
    <w:uiPriority w:val="99"/>
    <w:semiHidden/>
    <w:rsid w:val="0014383F"/>
    <w:rPr>
      <w:rFonts w:ascii="Arial" w:hAnsi="Arial" w:cs="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3A"/>
    <w:pPr>
      <w:spacing w:after="200" w:line="276" w:lineRule="auto"/>
    </w:pPr>
    <w:rPr>
      <w:rFonts w:ascii="Arial" w:hAnsi="Arial" w:cs="Arial"/>
    </w:rPr>
  </w:style>
  <w:style w:type="paragraph" w:styleId="Heading1">
    <w:name w:val="heading 1"/>
    <w:basedOn w:val="Normal"/>
    <w:link w:val="Heading1Char"/>
    <w:uiPriority w:val="9"/>
    <w:qFormat/>
    <w:rsid w:val="002D713A"/>
    <w:pPr>
      <w:spacing w:before="100" w:beforeAutospacing="1" w:after="100" w:afterAutospacing="1" w:line="240" w:lineRule="auto"/>
      <w:outlineLvl w:val="0"/>
    </w:pPr>
    <w:rPr>
      <w:rFonts w:ascii="Times New Roman" w:eastAsia="Times New Roman" w:hAnsi="Times New Roman" w:cs="Times New Roman"/>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13A"/>
    <w:rPr>
      <w:rFonts w:ascii="Times New Roman" w:eastAsia="Times New Roman" w:hAnsi="Times New Roman" w:cs="Times New Roman"/>
      <w:kern w:val="36"/>
      <w:sz w:val="24"/>
      <w:szCs w:val="24"/>
      <w:lang w:eastAsia="en-GB"/>
    </w:rPr>
  </w:style>
  <w:style w:type="paragraph" w:styleId="FootnoteText">
    <w:name w:val="footnote text"/>
    <w:basedOn w:val="Normal"/>
    <w:link w:val="FootnoteTextChar"/>
    <w:uiPriority w:val="99"/>
    <w:rsid w:val="002D713A"/>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rsid w:val="002D713A"/>
    <w:rPr>
      <w:rFonts w:ascii="Calibri" w:eastAsia="Calibri" w:hAnsi="Calibri" w:cs="Calibri"/>
      <w:sz w:val="20"/>
      <w:szCs w:val="20"/>
      <w:lang w:val="en-US"/>
    </w:rPr>
  </w:style>
  <w:style w:type="character" w:styleId="FootnoteReference">
    <w:name w:val="footnote reference"/>
    <w:basedOn w:val="DefaultParagraphFont"/>
    <w:uiPriority w:val="99"/>
    <w:rsid w:val="002D713A"/>
    <w:rPr>
      <w:vertAlign w:val="superscript"/>
    </w:rPr>
  </w:style>
  <w:style w:type="paragraph" w:styleId="NormalWeb">
    <w:name w:val="Normal (Web)"/>
    <w:basedOn w:val="Normal"/>
    <w:uiPriority w:val="99"/>
    <w:rsid w:val="002D71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140C1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B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77CDF"/>
    <w:pPr>
      <w:spacing w:after="0" w:line="240" w:lineRule="auto"/>
    </w:pPr>
  </w:style>
  <w:style w:type="character" w:customStyle="1" w:styleId="NoSpacingChar">
    <w:name w:val="No Spacing Char"/>
    <w:basedOn w:val="DefaultParagraphFont"/>
    <w:link w:val="NoSpacing"/>
    <w:uiPriority w:val="1"/>
    <w:rsid w:val="00477CDF"/>
  </w:style>
  <w:style w:type="paragraph" w:styleId="ListParagraph">
    <w:name w:val="List Paragraph"/>
    <w:basedOn w:val="Normal"/>
    <w:uiPriority w:val="34"/>
    <w:qFormat/>
    <w:rsid w:val="00541343"/>
    <w:pPr>
      <w:ind w:left="720"/>
      <w:contextualSpacing/>
    </w:pPr>
  </w:style>
  <w:style w:type="paragraph" w:styleId="Header">
    <w:name w:val="header"/>
    <w:basedOn w:val="Normal"/>
    <w:link w:val="HeaderChar"/>
    <w:uiPriority w:val="99"/>
    <w:unhideWhenUsed/>
    <w:rsid w:val="00112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50C"/>
    <w:rPr>
      <w:rFonts w:ascii="Arial" w:hAnsi="Arial" w:cs="Arial"/>
    </w:rPr>
  </w:style>
  <w:style w:type="paragraph" w:styleId="Footer">
    <w:name w:val="footer"/>
    <w:basedOn w:val="Normal"/>
    <w:link w:val="FooterChar"/>
    <w:uiPriority w:val="99"/>
    <w:unhideWhenUsed/>
    <w:rsid w:val="00112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50C"/>
    <w:rPr>
      <w:rFonts w:ascii="Arial" w:hAnsi="Arial" w:cs="Arial"/>
    </w:rPr>
  </w:style>
  <w:style w:type="character" w:styleId="PlaceholderText">
    <w:name w:val="Placeholder Text"/>
    <w:basedOn w:val="DefaultParagraphFont"/>
    <w:uiPriority w:val="99"/>
    <w:semiHidden/>
    <w:rsid w:val="0011250C"/>
    <w:rPr>
      <w:color w:val="808080"/>
    </w:rPr>
  </w:style>
  <w:style w:type="paragraph" w:styleId="BalloonText">
    <w:name w:val="Balloon Text"/>
    <w:basedOn w:val="Normal"/>
    <w:link w:val="BalloonTextChar"/>
    <w:uiPriority w:val="99"/>
    <w:semiHidden/>
    <w:unhideWhenUsed/>
    <w:rsid w:val="00BB2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2F2"/>
    <w:rPr>
      <w:rFonts w:ascii="Segoe UI" w:hAnsi="Segoe UI" w:cs="Segoe UI"/>
      <w:sz w:val="18"/>
      <w:szCs w:val="18"/>
    </w:rPr>
  </w:style>
  <w:style w:type="character" w:styleId="CommentReference">
    <w:name w:val="annotation reference"/>
    <w:basedOn w:val="DefaultParagraphFont"/>
    <w:uiPriority w:val="99"/>
    <w:semiHidden/>
    <w:unhideWhenUsed/>
    <w:rsid w:val="0014383F"/>
    <w:rPr>
      <w:sz w:val="16"/>
      <w:szCs w:val="16"/>
    </w:rPr>
  </w:style>
  <w:style w:type="paragraph" w:styleId="CommentText">
    <w:name w:val="annotation text"/>
    <w:basedOn w:val="Normal"/>
    <w:link w:val="CommentTextChar"/>
    <w:uiPriority w:val="99"/>
    <w:semiHidden/>
    <w:unhideWhenUsed/>
    <w:rsid w:val="0014383F"/>
    <w:pPr>
      <w:spacing w:line="240" w:lineRule="auto"/>
    </w:pPr>
    <w:rPr>
      <w:sz w:val="20"/>
      <w:szCs w:val="20"/>
    </w:rPr>
  </w:style>
  <w:style w:type="character" w:customStyle="1" w:styleId="CommentTextChar">
    <w:name w:val="Comment Text Char"/>
    <w:basedOn w:val="DefaultParagraphFont"/>
    <w:link w:val="CommentText"/>
    <w:uiPriority w:val="99"/>
    <w:semiHidden/>
    <w:rsid w:val="0014383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4383F"/>
    <w:rPr>
      <w:b/>
      <w:bCs/>
    </w:rPr>
  </w:style>
  <w:style w:type="character" w:customStyle="1" w:styleId="CommentSubjectChar">
    <w:name w:val="Comment Subject Char"/>
    <w:basedOn w:val="CommentTextChar"/>
    <w:link w:val="CommentSubject"/>
    <w:uiPriority w:val="99"/>
    <w:semiHidden/>
    <w:rsid w:val="0014383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0.jpeg"/><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chart" Target="charts/chart8.xml"/><Relationship Id="rId19" Type="http://schemas.openxmlformats.org/officeDocument/2006/relationships/chart" Target="charts/chart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rcn.local\LHQ\Groups\Employment%20Relations\RM\Pay%20Review%20Body\2016\NI\Copy%20of%20Pay%20differences%202015%2016.xlsx" TargetMode="External"/><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oleObject" Target="file:///\\rcn.local\LHQ\Groups\Employment%20Relations\RM\Pay%20Review%20Body\2016\NI\Copy%20of%20Pay%20differences%202015%2016.xlsx" TargetMode="External"/><Relationship Id="rId2" Type="http://schemas.microsoft.com/office/2011/relationships/chartStyle" Target="style3.xml"/><Relationship Id="rId3" Type="http://schemas.microsoft.com/office/2011/relationships/chartColorStyle" Target="colors3.xml"/></Relationships>
</file>

<file path=word/charts/_rels/chart4.xml.rels><?xml version="1.0" encoding="UTF-8" standalone="yes"?>
<Relationships xmlns="http://schemas.openxmlformats.org/package/2006/relationships"><Relationship Id="rId1" Type="http://schemas.openxmlformats.org/officeDocument/2006/relationships/oleObject" Target="file:///\\rcn.local\LHQ\Groups\Employment%20Relations\RM\Pay%20Review%20Body\2016\NI\NI%20evidence%202016%20data.docx.xlsx" TargetMode="External"/><Relationship Id="rId2" Type="http://schemas.microsoft.com/office/2011/relationships/chartStyle" Target="style4.xml"/><Relationship Id="rId3" Type="http://schemas.microsoft.com/office/2011/relationships/chartColorStyle" Target="colors4.xml"/></Relationships>
</file>

<file path=word/charts/_rels/chart5.xml.rels><?xml version="1.0" encoding="UTF-8" standalone="yes"?>
<Relationships xmlns="http://schemas.openxmlformats.org/package/2006/relationships"><Relationship Id="rId1" Type="http://schemas.openxmlformats.org/officeDocument/2006/relationships/oleObject" Target="file:///\\rcn.local\LHQ\Groups\Employment%20Relations\RM\Pay%20Review%20Body\2016\NI\NI%20evidence%202016%20data.docx.xlsx" TargetMode="External"/><Relationship Id="rId2" Type="http://schemas.microsoft.com/office/2011/relationships/chartStyle" Target="style5.xml"/><Relationship Id="rId3" Type="http://schemas.microsoft.com/office/2011/relationships/chartColorStyle" Target="colors5.xml"/></Relationships>
</file>

<file path=word/charts/_rels/chart6.xml.rels><?xml version="1.0" encoding="UTF-8" standalone="yes"?>
<Relationships xmlns="http://schemas.openxmlformats.org/package/2006/relationships"><Relationship Id="rId1" Type="http://schemas.openxmlformats.org/officeDocument/2006/relationships/oleObject" Target="file:///\\rcn.local\LHQ\Groups\Employment%20Relations\RM\Pay%20Review%20Body\2016\NI\NI%20evidence%202016%20data.docx.xlsx" TargetMode="External"/><Relationship Id="rId2" Type="http://schemas.microsoft.com/office/2011/relationships/chartStyle" Target="style6.xml"/><Relationship Id="rId3" Type="http://schemas.microsoft.com/office/2011/relationships/chartColorStyle" Target="colors6.xml"/></Relationships>
</file>

<file path=word/charts/_rels/chart7.xml.rels><?xml version="1.0" encoding="UTF-8" standalone="yes"?>
<Relationships xmlns="http://schemas.openxmlformats.org/package/2006/relationships"><Relationship Id="rId1" Type="http://schemas.openxmlformats.org/officeDocument/2006/relationships/oleObject" Target="file:///\\rcn.local\LHQ\Groups\Employment%20Relations\RM\Pay%20Review%20Body\2016\hsc-vacancies-tables-march-2015.xlsx" TargetMode="External"/><Relationship Id="rId2" Type="http://schemas.microsoft.com/office/2011/relationships/chartStyle" Target="style7.xml"/><Relationship Id="rId3" Type="http://schemas.microsoft.com/office/2011/relationships/chartColorStyle" Target="colors7.xml"/></Relationships>
</file>

<file path=word/charts/_rels/chart8.xml.rels><?xml version="1.0" encoding="UTF-8" standalone="yes"?>
<Relationships xmlns="http://schemas.openxmlformats.org/package/2006/relationships"><Relationship Id="rId1" Type="http://schemas.openxmlformats.org/officeDocument/2006/relationships/oleObject" Target="file:///\\rcn.local\LHQ\Groups\Employment%20Relations\RM\Pay%20Review%20Body\2016\NI\NI%20evidence%202016%20data.docx.xlsx" TargetMode="External"/><Relationship Id="rId2" Type="http://schemas.microsoft.com/office/2011/relationships/chartStyle" Target="style8.xml"/><Relationship Id="rId3" Type="http://schemas.microsoft.com/office/2011/relationships/chartColorStyle" Target="colors8.xml"/></Relationships>
</file>

<file path=word/charts/_rels/chart9.xml.rels><?xml version="1.0" encoding="UTF-8" standalone="yes"?>
<Relationships xmlns="http://schemas.openxmlformats.org/package/2006/relationships"><Relationship Id="rId1" Type="http://schemas.openxmlformats.org/officeDocument/2006/relationships/oleObject" Target="file:///\\rcn.local\LHQ\Groups\Employment%20Relations\RM\Pay%20Review%20Body\2016\NI\NI%20evidence%202016%20data.docx.xlsx" TargetMode="External"/><Relationship Id="rId2" Type="http://schemas.microsoft.com/office/2011/relationships/chartStyle" Target="style9.xml"/><Relationship Id="rId3" Type="http://schemas.microsoft.com/office/2011/relationships/chartColorStyle" Target="colors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 1: Average total weekly earnings 2014-2015</a:t>
            </a:r>
          </a:p>
        </c:rich>
      </c:tx>
      <c:overlay val="0"/>
      <c:spPr>
        <a:noFill/>
        <a:ln>
          <a:noFill/>
        </a:ln>
        <a:effectLst/>
      </c:spPr>
    </c:title>
    <c:autoTitleDeleted val="0"/>
    <c:plotArea>
      <c:layout/>
      <c:lineChart>
        <c:grouping val="standard"/>
        <c:varyColors val="0"/>
        <c:ser>
          <c:idx val="0"/>
          <c:order val="0"/>
          <c:tx>
            <c:strRef>
              <c:f>Sheet1!$B$3</c:f>
              <c:strCache>
                <c:ptCount val="1"/>
                <c:pt idx="0">
                  <c:v>Whole economy</c:v>
                </c:pt>
              </c:strCache>
            </c:strRef>
          </c:tx>
          <c:spPr>
            <a:ln w="28575" cap="rnd">
              <a:solidFill>
                <a:schemeClr val="accent1"/>
              </a:solidFill>
              <a:round/>
            </a:ln>
            <a:effectLst/>
          </c:spPr>
          <c:marker>
            <c:symbol val="none"/>
          </c:marker>
          <c:cat>
            <c:numRef>
              <c:f>Sheet1!$A$4:$A$16</c:f>
              <c:numCache>
                <c:formatCode>mmm\-yy</c:formatCode>
                <c:ptCount val="13"/>
                <c:pt idx="0">
                  <c:v>41944.0</c:v>
                </c:pt>
                <c:pt idx="1">
                  <c:v>41974.0</c:v>
                </c:pt>
                <c:pt idx="2">
                  <c:v>42005.0</c:v>
                </c:pt>
                <c:pt idx="3">
                  <c:v>42036.0</c:v>
                </c:pt>
                <c:pt idx="4">
                  <c:v>42064.0</c:v>
                </c:pt>
                <c:pt idx="5">
                  <c:v>42095.0</c:v>
                </c:pt>
                <c:pt idx="6">
                  <c:v>42125.0</c:v>
                </c:pt>
                <c:pt idx="7">
                  <c:v>42156.0</c:v>
                </c:pt>
                <c:pt idx="8">
                  <c:v>42186.0</c:v>
                </c:pt>
                <c:pt idx="9">
                  <c:v>42217.0</c:v>
                </c:pt>
                <c:pt idx="10">
                  <c:v>42248.0</c:v>
                </c:pt>
                <c:pt idx="11">
                  <c:v>42278.0</c:v>
                </c:pt>
                <c:pt idx="12">
                  <c:v>42309.0</c:v>
                </c:pt>
              </c:numCache>
            </c:numRef>
          </c:cat>
          <c:val>
            <c:numRef>
              <c:f>Sheet1!$B$4:$B$16</c:f>
              <c:numCache>
                <c:formatCode>0.0%</c:formatCode>
                <c:ptCount val="13"/>
                <c:pt idx="0">
                  <c:v>0.02</c:v>
                </c:pt>
                <c:pt idx="1">
                  <c:v>0.025</c:v>
                </c:pt>
                <c:pt idx="2">
                  <c:v>0.015</c:v>
                </c:pt>
                <c:pt idx="3">
                  <c:v>0.044</c:v>
                </c:pt>
                <c:pt idx="4">
                  <c:v>0.027</c:v>
                </c:pt>
                <c:pt idx="5">
                  <c:v>0.028</c:v>
                </c:pt>
                <c:pt idx="6">
                  <c:v>0.023</c:v>
                </c:pt>
                <c:pt idx="7">
                  <c:v>0.036</c:v>
                </c:pt>
                <c:pt idx="8">
                  <c:v>0.032</c:v>
                </c:pt>
                <c:pt idx="9">
                  <c:v>0.021</c:v>
                </c:pt>
                <c:pt idx="10">
                  <c:v>0.019</c:v>
                </c:pt>
                <c:pt idx="11">
                  <c:v>0.02</c:v>
                </c:pt>
                <c:pt idx="12">
                  <c:v>0.02</c:v>
                </c:pt>
              </c:numCache>
            </c:numRef>
          </c:val>
          <c:smooth val="0"/>
        </c:ser>
        <c:ser>
          <c:idx val="1"/>
          <c:order val="1"/>
          <c:tx>
            <c:strRef>
              <c:f>Sheet1!$C$3</c:f>
              <c:strCache>
                <c:ptCount val="1"/>
                <c:pt idx="0">
                  <c:v>Private sector</c:v>
                </c:pt>
              </c:strCache>
            </c:strRef>
          </c:tx>
          <c:spPr>
            <a:ln w="28575" cap="rnd">
              <a:solidFill>
                <a:schemeClr val="accent2"/>
              </a:solidFill>
              <a:round/>
            </a:ln>
            <a:effectLst/>
          </c:spPr>
          <c:marker>
            <c:symbol val="none"/>
          </c:marker>
          <c:cat>
            <c:numRef>
              <c:f>Sheet1!$A$4:$A$16</c:f>
              <c:numCache>
                <c:formatCode>mmm\-yy</c:formatCode>
                <c:ptCount val="13"/>
                <c:pt idx="0">
                  <c:v>41944.0</c:v>
                </c:pt>
                <c:pt idx="1">
                  <c:v>41974.0</c:v>
                </c:pt>
                <c:pt idx="2">
                  <c:v>42005.0</c:v>
                </c:pt>
                <c:pt idx="3">
                  <c:v>42036.0</c:v>
                </c:pt>
                <c:pt idx="4">
                  <c:v>42064.0</c:v>
                </c:pt>
                <c:pt idx="5">
                  <c:v>42095.0</c:v>
                </c:pt>
                <c:pt idx="6">
                  <c:v>42125.0</c:v>
                </c:pt>
                <c:pt idx="7">
                  <c:v>42156.0</c:v>
                </c:pt>
                <c:pt idx="8">
                  <c:v>42186.0</c:v>
                </c:pt>
                <c:pt idx="9">
                  <c:v>42217.0</c:v>
                </c:pt>
                <c:pt idx="10">
                  <c:v>42248.0</c:v>
                </c:pt>
                <c:pt idx="11">
                  <c:v>42278.0</c:v>
                </c:pt>
                <c:pt idx="12">
                  <c:v>42309.0</c:v>
                </c:pt>
              </c:numCache>
            </c:numRef>
          </c:cat>
          <c:val>
            <c:numRef>
              <c:f>Sheet1!$C$4:$C$16</c:f>
              <c:numCache>
                <c:formatCode>0.0%</c:formatCode>
                <c:ptCount val="13"/>
                <c:pt idx="0">
                  <c:v>0.025</c:v>
                </c:pt>
                <c:pt idx="1">
                  <c:v>0.029</c:v>
                </c:pt>
                <c:pt idx="2">
                  <c:v>0.017</c:v>
                </c:pt>
                <c:pt idx="3">
                  <c:v>0.012</c:v>
                </c:pt>
                <c:pt idx="4">
                  <c:v>0.057</c:v>
                </c:pt>
                <c:pt idx="5">
                  <c:v>0.031</c:v>
                </c:pt>
                <c:pt idx="6">
                  <c:v>0.033</c:v>
                </c:pt>
                <c:pt idx="7">
                  <c:v>0.025</c:v>
                </c:pt>
                <c:pt idx="8">
                  <c:v>0.043</c:v>
                </c:pt>
                <c:pt idx="9">
                  <c:v>0.036</c:v>
                </c:pt>
                <c:pt idx="10">
                  <c:v>0.023</c:v>
                </c:pt>
                <c:pt idx="11">
                  <c:v>0.021</c:v>
                </c:pt>
                <c:pt idx="12">
                  <c:v>0.022</c:v>
                </c:pt>
              </c:numCache>
            </c:numRef>
          </c:val>
          <c:smooth val="0"/>
        </c:ser>
        <c:ser>
          <c:idx val="2"/>
          <c:order val="2"/>
          <c:tx>
            <c:strRef>
              <c:f>Sheet1!$D$3</c:f>
              <c:strCache>
                <c:ptCount val="1"/>
                <c:pt idx="0">
                  <c:v>Public sector</c:v>
                </c:pt>
              </c:strCache>
            </c:strRef>
          </c:tx>
          <c:spPr>
            <a:ln w="28575" cap="rnd">
              <a:solidFill>
                <a:schemeClr val="accent3"/>
              </a:solidFill>
              <a:round/>
            </a:ln>
            <a:effectLst/>
          </c:spPr>
          <c:marker>
            <c:symbol val="none"/>
          </c:marker>
          <c:cat>
            <c:numRef>
              <c:f>Sheet1!$A$4:$A$16</c:f>
              <c:numCache>
                <c:formatCode>mmm\-yy</c:formatCode>
                <c:ptCount val="13"/>
                <c:pt idx="0">
                  <c:v>41944.0</c:v>
                </c:pt>
                <c:pt idx="1">
                  <c:v>41974.0</c:v>
                </c:pt>
                <c:pt idx="2">
                  <c:v>42005.0</c:v>
                </c:pt>
                <c:pt idx="3">
                  <c:v>42036.0</c:v>
                </c:pt>
                <c:pt idx="4">
                  <c:v>42064.0</c:v>
                </c:pt>
                <c:pt idx="5">
                  <c:v>42095.0</c:v>
                </c:pt>
                <c:pt idx="6">
                  <c:v>42125.0</c:v>
                </c:pt>
                <c:pt idx="7">
                  <c:v>42156.0</c:v>
                </c:pt>
                <c:pt idx="8">
                  <c:v>42186.0</c:v>
                </c:pt>
                <c:pt idx="9">
                  <c:v>42217.0</c:v>
                </c:pt>
                <c:pt idx="10">
                  <c:v>42248.0</c:v>
                </c:pt>
                <c:pt idx="11">
                  <c:v>42278.0</c:v>
                </c:pt>
                <c:pt idx="12">
                  <c:v>42309.0</c:v>
                </c:pt>
              </c:numCache>
            </c:numRef>
          </c:cat>
          <c:val>
            <c:numRef>
              <c:f>Sheet1!$D$4:$D$16</c:f>
              <c:numCache>
                <c:formatCode>0.0%</c:formatCode>
                <c:ptCount val="13"/>
                <c:pt idx="0">
                  <c:v>0.007</c:v>
                </c:pt>
                <c:pt idx="1">
                  <c:v>0.009</c:v>
                </c:pt>
                <c:pt idx="2">
                  <c:v>0.008</c:v>
                </c:pt>
                <c:pt idx="3">
                  <c:v>0.022</c:v>
                </c:pt>
                <c:pt idx="4">
                  <c:v>0.006</c:v>
                </c:pt>
                <c:pt idx="5">
                  <c:v>0.009</c:v>
                </c:pt>
                <c:pt idx="6">
                  <c:v>0.011</c:v>
                </c:pt>
                <c:pt idx="7">
                  <c:v>0.01</c:v>
                </c:pt>
                <c:pt idx="8">
                  <c:v>0.01</c:v>
                </c:pt>
                <c:pt idx="9">
                  <c:v>0.012</c:v>
                </c:pt>
                <c:pt idx="10">
                  <c:v>0.015</c:v>
                </c:pt>
                <c:pt idx="11">
                  <c:v>0.014</c:v>
                </c:pt>
                <c:pt idx="12">
                  <c:v>0.015</c:v>
                </c:pt>
              </c:numCache>
            </c:numRef>
          </c:val>
          <c:smooth val="0"/>
        </c:ser>
        <c:dLbls>
          <c:showLegendKey val="0"/>
          <c:showVal val="0"/>
          <c:showCatName val="0"/>
          <c:showSerName val="0"/>
          <c:showPercent val="0"/>
          <c:showBubbleSize val="0"/>
        </c:dLbls>
        <c:marker val="1"/>
        <c:smooth val="0"/>
        <c:axId val="2070723272"/>
        <c:axId val="2070740808"/>
      </c:lineChart>
      <c:dateAx>
        <c:axId val="2070723272"/>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0740808"/>
        <c:crosses val="autoZero"/>
        <c:auto val="1"/>
        <c:lblOffset val="100"/>
        <c:baseTimeUnit val="months"/>
      </c:dateAx>
      <c:valAx>
        <c:axId val="2070740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3 month average increase</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072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 2: Pay differences</a:t>
            </a:r>
            <a:r>
              <a:rPr lang="en-GB" baseline="0"/>
              <a:t> 2015-16</a:t>
            </a:r>
            <a:endParaRPr lang="en-GB"/>
          </a:p>
        </c:rich>
      </c:tx>
      <c:layout/>
      <c:overlay val="0"/>
      <c:spPr>
        <a:noFill/>
        <a:ln>
          <a:noFill/>
        </a:ln>
        <a:effectLst/>
      </c:spPr>
    </c:title>
    <c:autoTitleDeleted val="0"/>
    <c:plotArea>
      <c:layout>
        <c:manualLayout>
          <c:layoutTarget val="inner"/>
          <c:xMode val="edge"/>
          <c:yMode val="edge"/>
          <c:x val="0.109678258967629"/>
          <c:y val="0.171712962962963"/>
          <c:w val="0.859766185476815"/>
          <c:h val="0.409875692621756"/>
        </c:manualLayout>
      </c:layout>
      <c:barChart>
        <c:barDir val="col"/>
        <c:grouping val="clustered"/>
        <c:varyColors val="0"/>
        <c:ser>
          <c:idx val="0"/>
          <c:order val="0"/>
          <c:tx>
            <c:strRef>
              <c:f>Sheet1!$D$43</c:f>
              <c:strCache>
                <c:ptCount val="1"/>
                <c:pt idx="0">
                  <c:v>Difference with England</c:v>
                </c:pt>
              </c:strCache>
            </c:strRef>
          </c:tx>
          <c:spPr>
            <a:solidFill>
              <a:schemeClr val="accent1"/>
            </a:solidFill>
            <a:ln>
              <a:noFill/>
            </a:ln>
            <a:effectLst/>
          </c:spPr>
          <c:invertIfNegative val="0"/>
          <c:cat>
            <c:multiLvlStrRef>
              <c:f>Sheet1!$B$44:$C$63</c:f>
              <c:multiLvlStrCache>
                <c:ptCount val="20"/>
                <c:lvl>
                  <c:pt idx="0">
                    <c:v>Bottom</c:v>
                  </c:pt>
                  <c:pt idx="1">
                    <c:v>Top</c:v>
                  </c:pt>
                  <c:pt idx="2">
                    <c:v>Bottom</c:v>
                  </c:pt>
                  <c:pt idx="3">
                    <c:v>Top</c:v>
                  </c:pt>
                  <c:pt idx="4">
                    <c:v>Bottom</c:v>
                  </c:pt>
                  <c:pt idx="5">
                    <c:v>Top</c:v>
                  </c:pt>
                  <c:pt idx="6">
                    <c:v>Bottom</c:v>
                  </c:pt>
                  <c:pt idx="7">
                    <c:v>Top</c:v>
                  </c:pt>
                  <c:pt idx="8">
                    <c:v>Bottom</c:v>
                  </c:pt>
                  <c:pt idx="9">
                    <c:v>Top</c:v>
                  </c:pt>
                  <c:pt idx="10">
                    <c:v>Bottom</c:v>
                  </c:pt>
                  <c:pt idx="11">
                    <c:v>Top</c:v>
                  </c:pt>
                  <c:pt idx="12">
                    <c:v>Bottom</c:v>
                  </c:pt>
                  <c:pt idx="13">
                    <c:v>Top</c:v>
                  </c:pt>
                  <c:pt idx="14">
                    <c:v>Bottom</c:v>
                  </c:pt>
                  <c:pt idx="15">
                    <c:v>Top</c:v>
                  </c:pt>
                  <c:pt idx="16">
                    <c:v>Bottom</c:v>
                  </c:pt>
                  <c:pt idx="17">
                    <c:v>Top</c:v>
                  </c:pt>
                  <c:pt idx="18">
                    <c:v>Bottom</c:v>
                  </c:pt>
                  <c:pt idx="19">
                    <c:v>Top</c:v>
                  </c:pt>
                </c:lvl>
                <c:lvl>
                  <c:pt idx="0">
                    <c:v>Band 2</c:v>
                  </c:pt>
                  <c:pt idx="2">
                    <c:v>Band 3</c:v>
                  </c:pt>
                  <c:pt idx="4">
                    <c:v>Band 4</c:v>
                  </c:pt>
                  <c:pt idx="6">
                    <c:v>Band 5</c:v>
                  </c:pt>
                  <c:pt idx="8">
                    <c:v>Band 6</c:v>
                  </c:pt>
                  <c:pt idx="10">
                    <c:v>Band 7</c:v>
                  </c:pt>
                  <c:pt idx="12">
                    <c:v>Band 8a</c:v>
                  </c:pt>
                  <c:pt idx="14">
                    <c:v>Band 8b</c:v>
                  </c:pt>
                  <c:pt idx="16">
                    <c:v>Band 8c</c:v>
                  </c:pt>
                  <c:pt idx="18">
                    <c:v>Band 8d</c:v>
                  </c:pt>
                </c:lvl>
              </c:multiLvlStrCache>
            </c:multiLvlStrRef>
          </c:cat>
          <c:val>
            <c:numRef>
              <c:f>Sheet1!$D$44:$D$63</c:f>
              <c:numCache>
                <c:formatCode>General</c:formatCode>
                <c:ptCount val="20"/>
                <c:pt idx="0">
                  <c:v>806.0</c:v>
                </c:pt>
                <c:pt idx="1">
                  <c:v>375.0</c:v>
                </c:pt>
                <c:pt idx="2">
                  <c:v>362.0</c:v>
                </c:pt>
                <c:pt idx="3">
                  <c:v>193.0</c:v>
                </c:pt>
                <c:pt idx="4">
                  <c:v>189.0</c:v>
                </c:pt>
                <c:pt idx="5">
                  <c:v>220.0</c:v>
                </c:pt>
                <c:pt idx="6">
                  <c:v>214.0</c:v>
                </c:pt>
                <c:pt idx="7">
                  <c:v>271.0</c:v>
                </c:pt>
                <c:pt idx="8">
                  <c:v>258.0</c:v>
                </c:pt>
                <c:pt idx="9">
                  <c:v>346.0</c:v>
                </c:pt>
                <c:pt idx="10">
                  <c:v>308.0</c:v>
                </c:pt>
                <c:pt idx="11">
                  <c:v>406.0</c:v>
                </c:pt>
                <c:pt idx="12">
                  <c:v>393.0</c:v>
                </c:pt>
                <c:pt idx="13">
                  <c:v>471.0</c:v>
                </c:pt>
                <c:pt idx="14">
                  <c:v>457.0</c:v>
                </c:pt>
                <c:pt idx="15">
                  <c:v>565.0</c:v>
                </c:pt>
                <c:pt idx="16">
                  <c:v>550.0</c:v>
                </c:pt>
                <c:pt idx="17">
                  <c:v>0.0</c:v>
                </c:pt>
                <c:pt idx="18">
                  <c:v>0.0</c:v>
                </c:pt>
                <c:pt idx="19">
                  <c:v>0.0</c:v>
                </c:pt>
              </c:numCache>
            </c:numRef>
          </c:val>
        </c:ser>
        <c:ser>
          <c:idx val="1"/>
          <c:order val="1"/>
          <c:tx>
            <c:strRef>
              <c:f>Sheet1!$E$43</c:f>
              <c:strCache>
                <c:ptCount val="1"/>
                <c:pt idx="0">
                  <c:v>Difference with Scotland</c:v>
                </c:pt>
              </c:strCache>
            </c:strRef>
          </c:tx>
          <c:spPr>
            <a:solidFill>
              <a:schemeClr val="accent2"/>
            </a:solidFill>
            <a:ln>
              <a:noFill/>
            </a:ln>
            <a:effectLst/>
          </c:spPr>
          <c:invertIfNegative val="0"/>
          <c:cat>
            <c:multiLvlStrRef>
              <c:f>Sheet1!$B$44:$C$63</c:f>
              <c:multiLvlStrCache>
                <c:ptCount val="20"/>
                <c:lvl>
                  <c:pt idx="0">
                    <c:v>Bottom</c:v>
                  </c:pt>
                  <c:pt idx="1">
                    <c:v>Top</c:v>
                  </c:pt>
                  <c:pt idx="2">
                    <c:v>Bottom</c:v>
                  </c:pt>
                  <c:pt idx="3">
                    <c:v>Top</c:v>
                  </c:pt>
                  <c:pt idx="4">
                    <c:v>Bottom</c:v>
                  </c:pt>
                  <c:pt idx="5">
                    <c:v>Top</c:v>
                  </c:pt>
                  <c:pt idx="6">
                    <c:v>Bottom</c:v>
                  </c:pt>
                  <c:pt idx="7">
                    <c:v>Top</c:v>
                  </c:pt>
                  <c:pt idx="8">
                    <c:v>Bottom</c:v>
                  </c:pt>
                  <c:pt idx="9">
                    <c:v>Top</c:v>
                  </c:pt>
                  <c:pt idx="10">
                    <c:v>Bottom</c:v>
                  </c:pt>
                  <c:pt idx="11">
                    <c:v>Top</c:v>
                  </c:pt>
                  <c:pt idx="12">
                    <c:v>Bottom</c:v>
                  </c:pt>
                  <c:pt idx="13">
                    <c:v>Top</c:v>
                  </c:pt>
                  <c:pt idx="14">
                    <c:v>Bottom</c:v>
                  </c:pt>
                  <c:pt idx="15">
                    <c:v>Top</c:v>
                  </c:pt>
                  <c:pt idx="16">
                    <c:v>Bottom</c:v>
                  </c:pt>
                  <c:pt idx="17">
                    <c:v>Top</c:v>
                  </c:pt>
                  <c:pt idx="18">
                    <c:v>Bottom</c:v>
                  </c:pt>
                  <c:pt idx="19">
                    <c:v>Top</c:v>
                  </c:pt>
                </c:lvl>
                <c:lvl>
                  <c:pt idx="0">
                    <c:v>Band 2</c:v>
                  </c:pt>
                  <c:pt idx="2">
                    <c:v>Band 3</c:v>
                  </c:pt>
                  <c:pt idx="4">
                    <c:v>Band 4</c:v>
                  </c:pt>
                  <c:pt idx="6">
                    <c:v>Band 5</c:v>
                  </c:pt>
                  <c:pt idx="8">
                    <c:v>Band 6</c:v>
                  </c:pt>
                  <c:pt idx="10">
                    <c:v>Band 7</c:v>
                  </c:pt>
                  <c:pt idx="12">
                    <c:v>Band 8a</c:v>
                  </c:pt>
                  <c:pt idx="14">
                    <c:v>Band 8b</c:v>
                  </c:pt>
                  <c:pt idx="16">
                    <c:v>Band 8c</c:v>
                  </c:pt>
                  <c:pt idx="18">
                    <c:v>Band 8d</c:v>
                  </c:pt>
                </c:lvl>
              </c:multiLvlStrCache>
            </c:multiLvlStrRef>
          </c:cat>
          <c:val>
            <c:numRef>
              <c:f>Sheet1!$E$44:$E$63</c:f>
              <c:numCache>
                <c:formatCode>General</c:formatCode>
                <c:ptCount val="20"/>
                <c:pt idx="0">
                  <c:v>1064.0</c:v>
                </c:pt>
                <c:pt idx="1">
                  <c:v>678.0</c:v>
                </c:pt>
                <c:pt idx="2">
                  <c:v>689.0</c:v>
                </c:pt>
                <c:pt idx="3">
                  <c:v>659.0</c:v>
                </c:pt>
                <c:pt idx="4">
                  <c:v>664.0</c:v>
                </c:pt>
                <c:pt idx="5">
                  <c:v>442.0</c:v>
                </c:pt>
                <c:pt idx="6">
                  <c:v>340.0</c:v>
                </c:pt>
                <c:pt idx="7">
                  <c:v>553.0</c:v>
                </c:pt>
                <c:pt idx="8">
                  <c:v>519.0</c:v>
                </c:pt>
                <c:pt idx="9">
                  <c:v>695.0</c:v>
                </c:pt>
                <c:pt idx="10">
                  <c:v>619.0</c:v>
                </c:pt>
                <c:pt idx="11">
                  <c:v>815.0</c:v>
                </c:pt>
                <c:pt idx="12">
                  <c:v>789.0</c:v>
                </c:pt>
                <c:pt idx="13">
                  <c:v>946.0</c:v>
                </c:pt>
                <c:pt idx="14">
                  <c:v>918.0</c:v>
                </c:pt>
                <c:pt idx="15">
                  <c:v>1136.0</c:v>
                </c:pt>
                <c:pt idx="16">
                  <c:v>1106.0</c:v>
                </c:pt>
                <c:pt idx="17">
                  <c:v>1363.0</c:v>
                </c:pt>
                <c:pt idx="18">
                  <c:v>1325.0</c:v>
                </c:pt>
                <c:pt idx="19">
                  <c:v>1635.0</c:v>
                </c:pt>
              </c:numCache>
            </c:numRef>
          </c:val>
        </c:ser>
        <c:dLbls>
          <c:showLegendKey val="0"/>
          <c:showVal val="0"/>
          <c:showCatName val="0"/>
          <c:showSerName val="0"/>
          <c:showPercent val="0"/>
          <c:showBubbleSize val="0"/>
        </c:dLbls>
        <c:gapWidth val="219"/>
        <c:overlap val="-27"/>
        <c:axId val="2070757896"/>
        <c:axId val="2070732600"/>
      </c:barChart>
      <c:catAx>
        <c:axId val="207075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0732600"/>
        <c:crosses val="autoZero"/>
        <c:auto val="1"/>
        <c:lblAlgn val="ctr"/>
        <c:lblOffset val="100"/>
        <c:noMultiLvlLbl val="0"/>
      </c:catAx>
      <c:valAx>
        <c:axId val="2070732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rgbClr val="FF0000"/>
                    </a:solidFill>
                    <a:latin typeface="+mn-lt"/>
                    <a:ea typeface="+mn-ea"/>
                    <a:cs typeface="+mn-cs"/>
                  </a:defRPr>
                </a:pPr>
                <a:r>
                  <a:rPr lang="en-US" b="1">
                    <a:solidFill>
                      <a:sysClr val="windowText" lastClr="000000"/>
                    </a:solidFill>
                  </a:rPr>
                  <a:t>£'s</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0757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 3: Percentage</a:t>
            </a:r>
            <a:r>
              <a:rPr lang="en-GB" baseline="0"/>
              <a:t> p</a:t>
            </a:r>
            <a:r>
              <a:rPr lang="en-GB"/>
              <a:t>ay differences 2015-16</a:t>
            </a:r>
          </a:p>
        </c:rich>
      </c:tx>
      <c:overlay val="0"/>
      <c:spPr>
        <a:noFill/>
        <a:ln>
          <a:noFill/>
        </a:ln>
        <a:effectLst/>
      </c:spPr>
    </c:title>
    <c:autoTitleDeleted val="0"/>
    <c:plotArea>
      <c:layout/>
      <c:barChart>
        <c:barDir val="col"/>
        <c:grouping val="clustered"/>
        <c:varyColors val="0"/>
        <c:ser>
          <c:idx val="0"/>
          <c:order val="0"/>
          <c:tx>
            <c:strRef>
              <c:f>Sheet1!$J$43</c:f>
              <c:strCache>
                <c:ptCount val="1"/>
                <c:pt idx="0">
                  <c:v>Difference with England</c:v>
                </c:pt>
              </c:strCache>
            </c:strRef>
          </c:tx>
          <c:spPr>
            <a:solidFill>
              <a:schemeClr val="accent1"/>
            </a:solidFill>
            <a:ln>
              <a:noFill/>
            </a:ln>
            <a:effectLst/>
          </c:spPr>
          <c:invertIfNegative val="0"/>
          <c:cat>
            <c:multiLvlStrRef>
              <c:f>Sheet1!$H$44:$I$63</c:f>
              <c:multiLvlStrCache>
                <c:ptCount val="20"/>
                <c:lvl>
                  <c:pt idx="0">
                    <c:v>Bottom</c:v>
                  </c:pt>
                  <c:pt idx="1">
                    <c:v>Top</c:v>
                  </c:pt>
                  <c:pt idx="2">
                    <c:v>Bottom</c:v>
                  </c:pt>
                  <c:pt idx="3">
                    <c:v>Top</c:v>
                  </c:pt>
                  <c:pt idx="4">
                    <c:v>Bottom</c:v>
                  </c:pt>
                  <c:pt idx="5">
                    <c:v>Top</c:v>
                  </c:pt>
                  <c:pt idx="6">
                    <c:v>Bottom</c:v>
                  </c:pt>
                  <c:pt idx="7">
                    <c:v>Top</c:v>
                  </c:pt>
                  <c:pt idx="8">
                    <c:v>Bottom</c:v>
                  </c:pt>
                  <c:pt idx="9">
                    <c:v>Top</c:v>
                  </c:pt>
                  <c:pt idx="10">
                    <c:v>Bottom</c:v>
                  </c:pt>
                  <c:pt idx="11">
                    <c:v>Top</c:v>
                  </c:pt>
                  <c:pt idx="12">
                    <c:v>Bottom</c:v>
                  </c:pt>
                  <c:pt idx="13">
                    <c:v>Top</c:v>
                  </c:pt>
                  <c:pt idx="14">
                    <c:v>Bottom</c:v>
                  </c:pt>
                  <c:pt idx="15">
                    <c:v>Top</c:v>
                  </c:pt>
                  <c:pt idx="16">
                    <c:v>Bottom</c:v>
                  </c:pt>
                  <c:pt idx="17">
                    <c:v>Top</c:v>
                  </c:pt>
                  <c:pt idx="18">
                    <c:v>Bottom</c:v>
                  </c:pt>
                  <c:pt idx="19">
                    <c:v>Top</c:v>
                  </c:pt>
                </c:lvl>
                <c:lvl>
                  <c:pt idx="0">
                    <c:v>Band 2</c:v>
                  </c:pt>
                  <c:pt idx="2">
                    <c:v>Band 3</c:v>
                  </c:pt>
                  <c:pt idx="4">
                    <c:v>Band 4</c:v>
                  </c:pt>
                  <c:pt idx="6">
                    <c:v>Band 5</c:v>
                  </c:pt>
                  <c:pt idx="8">
                    <c:v>Band 6</c:v>
                  </c:pt>
                  <c:pt idx="10">
                    <c:v>Band 7</c:v>
                  </c:pt>
                  <c:pt idx="12">
                    <c:v>Band 8a</c:v>
                  </c:pt>
                  <c:pt idx="14">
                    <c:v>Band 8b</c:v>
                  </c:pt>
                  <c:pt idx="16">
                    <c:v>Band 8c</c:v>
                  </c:pt>
                  <c:pt idx="18">
                    <c:v>Band 8d</c:v>
                  </c:pt>
                </c:lvl>
              </c:multiLvlStrCache>
            </c:multiLvlStrRef>
          </c:cat>
          <c:val>
            <c:numRef>
              <c:f>Sheet1!$J$44:$J$63</c:f>
              <c:numCache>
                <c:formatCode>0.0</c:formatCode>
                <c:ptCount val="20"/>
                <c:pt idx="0">
                  <c:v>5.638729536868616</c:v>
                </c:pt>
                <c:pt idx="1">
                  <c:v>2.152080344332855</c:v>
                </c:pt>
                <c:pt idx="2">
                  <c:v>2.224817159363284</c:v>
                </c:pt>
                <c:pt idx="3">
                  <c:v>1.001660784720781</c:v>
                </c:pt>
                <c:pt idx="4">
                  <c:v>1.0</c:v>
                </c:pt>
                <c:pt idx="5">
                  <c:v>1.0</c:v>
                </c:pt>
                <c:pt idx="6">
                  <c:v>0.996368376943849</c:v>
                </c:pt>
                <c:pt idx="7">
                  <c:v>0.97129135156446</c:v>
                </c:pt>
                <c:pt idx="8">
                  <c:v>1.00065934918357</c:v>
                </c:pt>
                <c:pt idx="9">
                  <c:v>1.002027222704894</c:v>
                </c:pt>
                <c:pt idx="10">
                  <c:v>1.001170198933819</c:v>
                </c:pt>
                <c:pt idx="11">
                  <c:v>1.001035554021402</c:v>
                </c:pt>
                <c:pt idx="12">
                  <c:v>1.001554575804684</c:v>
                </c:pt>
                <c:pt idx="13">
                  <c:v>1.000254841997961</c:v>
                </c:pt>
                <c:pt idx="14">
                  <c:v>0.999846850591813</c:v>
                </c:pt>
                <c:pt idx="15">
                  <c:v>0.999929208551607</c:v>
                </c:pt>
                <c:pt idx="16">
                  <c:v>1.000036364958726</c:v>
                </c:pt>
                <c:pt idx="17">
                  <c:v>0.0</c:v>
                </c:pt>
                <c:pt idx="18">
                  <c:v>0.0</c:v>
                </c:pt>
                <c:pt idx="19">
                  <c:v>0.0</c:v>
                </c:pt>
              </c:numCache>
            </c:numRef>
          </c:val>
        </c:ser>
        <c:ser>
          <c:idx val="1"/>
          <c:order val="1"/>
          <c:tx>
            <c:strRef>
              <c:f>Sheet1!$K$43</c:f>
              <c:strCache>
                <c:ptCount val="1"/>
                <c:pt idx="0">
                  <c:v>Difference with Scotland</c:v>
                </c:pt>
              </c:strCache>
            </c:strRef>
          </c:tx>
          <c:spPr>
            <a:solidFill>
              <a:schemeClr val="accent2"/>
            </a:solidFill>
            <a:ln>
              <a:noFill/>
            </a:ln>
            <a:effectLst/>
          </c:spPr>
          <c:invertIfNegative val="0"/>
          <c:cat>
            <c:multiLvlStrRef>
              <c:f>Sheet1!$H$44:$I$63</c:f>
              <c:multiLvlStrCache>
                <c:ptCount val="20"/>
                <c:lvl>
                  <c:pt idx="0">
                    <c:v>Bottom</c:v>
                  </c:pt>
                  <c:pt idx="1">
                    <c:v>Top</c:v>
                  </c:pt>
                  <c:pt idx="2">
                    <c:v>Bottom</c:v>
                  </c:pt>
                  <c:pt idx="3">
                    <c:v>Top</c:v>
                  </c:pt>
                  <c:pt idx="4">
                    <c:v>Bottom</c:v>
                  </c:pt>
                  <c:pt idx="5">
                    <c:v>Top</c:v>
                  </c:pt>
                  <c:pt idx="6">
                    <c:v>Bottom</c:v>
                  </c:pt>
                  <c:pt idx="7">
                    <c:v>Top</c:v>
                  </c:pt>
                  <c:pt idx="8">
                    <c:v>Bottom</c:v>
                  </c:pt>
                  <c:pt idx="9">
                    <c:v>Top</c:v>
                  </c:pt>
                  <c:pt idx="10">
                    <c:v>Bottom</c:v>
                  </c:pt>
                  <c:pt idx="11">
                    <c:v>Top</c:v>
                  </c:pt>
                  <c:pt idx="12">
                    <c:v>Bottom</c:v>
                  </c:pt>
                  <c:pt idx="13">
                    <c:v>Top</c:v>
                  </c:pt>
                  <c:pt idx="14">
                    <c:v>Bottom</c:v>
                  </c:pt>
                  <c:pt idx="15">
                    <c:v>Top</c:v>
                  </c:pt>
                  <c:pt idx="16">
                    <c:v>Bottom</c:v>
                  </c:pt>
                  <c:pt idx="17">
                    <c:v>Top</c:v>
                  </c:pt>
                  <c:pt idx="18">
                    <c:v>Bottom</c:v>
                  </c:pt>
                  <c:pt idx="19">
                    <c:v>Top</c:v>
                  </c:pt>
                </c:lvl>
                <c:lvl>
                  <c:pt idx="0">
                    <c:v>Band 2</c:v>
                  </c:pt>
                  <c:pt idx="2">
                    <c:v>Band 3</c:v>
                  </c:pt>
                  <c:pt idx="4">
                    <c:v>Band 4</c:v>
                  </c:pt>
                  <c:pt idx="6">
                    <c:v>Band 5</c:v>
                  </c:pt>
                  <c:pt idx="8">
                    <c:v>Band 6</c:v>
                  </c:pt>
                  <c:pt idx="10">
                    <c:v>Band 7</c:v>
                  </c:pt>
                  <c:pt idx="12">
                    <c:v>Band 8a</c:v>
                  </c:pt>
                  <c:pt idx="14">
                    <c:v>Band 8b</c:v>
                  </c:pt>
                  <c:pt idx="16">
                    <c:v>Band 8c</c:v>
                  </c:pt>
                  <c:pt idx="18">
                    <c:v>Band 8d</c:v>
                  </c:pt>
                </c:lvl>
              </c:multiLvlStrCache>
            </c:multiLvlStrRef>
          </c:cat>
          <c:val>
            <c:numRef>
              <c:f>Sheet1!$K$44:$K$63</c:f>
              <c:numCache>
                <c:formatCode>0.0</c:formatCode>
                <c:ptCount val="20"/>
                <c:pt idx="0">
                  <c:v>7.44368266405485</c:v>
                </c:pt>
                <c:pt idx="1">
                  <c:v>3.890961262553802</c:v>
                </c:pt>
                <c:pt idx="2">
                  <c:v>4.234527687296416</c:v>
                </c:pt>
                <c:pt idx="3">
                  <c:v>3.420178534357484</c:v>
                </c:pt>
                <c:pt idx="4">
                  <c:v>3.5</c:v>
                </c:pt>
                <c:pt idx="5">
                  <c:v>2.0</c:v>
                </c:pt>
                <c:pt idx="6">
                  <c:v>1.583015178322004</c:v>
                </c:pt>
                <c:pt idx="7">
                  <c:v>1.982007813340024</c:v>
                </c:pt>
                <c:pt idx="8">
                  <c:v>2.012954272194857</c:v>
                </c:pt>
                <c:pt idx="9">
                  <c:v>2.012742542716478</c:v>
                </c:pt>
                <c:pt idx="10">
                  <c:v>2.01209205564946</c:v>
                </c:pt>
                <c:pt idx="11">
                  <c:v>2.009467922481385</c:v>
                </c:pt>
                <c:pt idx="12">
                  <c:v>2.010754606386503</c:v>
                </c:pt>
                <c:pt idx="13">
                  <c:v>2.009004417261298</c:v>
                </c:pt>
                <c:pt idx="14">
                  <c:v>2.008445095937164</c:v>
                </c:pt>
                <c:pt idx="15">
                  <c:v>2.010477134362168</c:v>
                </c:pt>
                <c:pt idx="16">
                  <c:v>2.010982217535183</c:v>
                </c:pt>
                <c:pt idx="17">
                  <c:v>2.010176240690215</c:v>
                </c:pt>
                <c:pt idx="18">
                  <c:v>2.009951154394587</c:v>
                </c:pt>
                <c:pt idx="19">
                  <c:v>2.00323458060722</c:v>
                </c:pt>
              </c:numCache>
            </c:numRef>
          </c:val>
        </c:ser>
        <c:dLbls>
          <c:showLegendKey val="0"/>
          <c:showVal val="0"/>
          <c:showCatName val="0"/>
          <c:showSerName val="0"/>
          <c:showPercent val="0"/>
          <c:showBubbleSize val="0"/>
        </c:dLbls>
        <c:gapWidth val="219"/>
        <c:overlap val="-27"/>
        <c:axId val="2072157656"/>
        <c:axId val="2072318264"/>
      </c:barChart>
      <c:catAx>
        <c:axId val="2072157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318264"/>
        <c:crosses val="autoZero"/>
        <c:auto val="1"/>
        <c:lblAlgn val="ctr"/>
        <c:lblOffset val="100"/>
        <c:noMultiLvlLbl val="0"/>
      </c:catAx>
      <c:valAx>
        <c:axId val="2072318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157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 4:</a:t>
            </a:r>
            <a:r>
              <a:rPr lang="en-GB" baseline="0"/>
              <a:t> </a:t>
            </a:r>
            <a:r>
              <a:rPr lang="en-GB"/>
              <a:t>Earnings as proportion</a:t>
            </a:r>
            <a:r>
              <a:rPr lang="en-GB" baseline="0"/>
              <a:t> of household income</a:t>
            </a:r>
            <a:endParaRPr lang="en-GB"/>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Sheet2!$A$19:$A$22</c:f>
              <c:strCache>
                <c:ptCount val="4"/>
                <c:pt idx="0">
                  <c:v>Less than half</c:v>
                </c:pt>
                <c:pt idx="1">
                  <c:v>About half</c:v>
                </c:pt>
                <c:pt idx="2">
                  <c:v>More than half</c:v>
                </c:pt>
                <c:pt idx="3">
                  <c:v>All</c:v>
                </c:pt>
              </c:strCache>
            </c:strRef>
          </c:cat>
          <c:val>
            <c:numRef>
              <c:f>Sheet2!$B$19:$B$22</c:f>
              <c:numCache>
                <c:formatCode>0.0%</c:formatCode>
                <c:ptCount val="4"/>
                <c:pt idx="0">
                  <c:v>0.16</c:v>
                </c:pt>
                <c:pt idx="1">
                  <c:v>0.246</c:v>
                </c:pt>
                <c:pt idx="2">
                  <c:v>0.331</c:v>
                </c:pt>
                <c:pt idx="3">
                  <c:v>0.263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 5: Financial wellbeing</a:t>
            </a:r>
          </a:p>
        </c:rich>
      </c:tx>
      <c:overlay val="0"/>
      <c:spPr>
        <a:noFill/>
        <a:ln>
          <a:noFill/>
        </a:ln>
        <a:effectLst/>
      </c:spPr>
    </c:title>
    <c:autoTitleDeleted val="0"/>
    <c:plotArea>
      <c:layout/>
      <c:barChart>
        <c:barDir val="col"/>
        <c:grouping val="clustered"/>
        <c:varyColors val="0"/>
        <c:ser>
          <c:idx val="0"/>
          <c:order val="0"/>
          <c:tx>
            <c:strRef>
              <c:f>Sheet2!$B$31</c:f>
              <c:strCache>
                <c:ptCount val="1"/>
                <c:pt idx="0">
                  <c:v>Northern Ireland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Sheet2!$A$32:$A$35</c:f>
              <c:strCache>
                <c:ptCount val="4"/>
                <c:pt idx="0">
                  <c:v>Struggled with gas and electricity bills</c:v>
                </c:pt>
                <c:pt idx="1">
                  <c:v>Struggled with childcare costs</c:v>
                </c:pt>
                <c:pt idx="2">
                  <c:v>Missed meals because of financial difficulty</c:v>
                </c:pt>
                <c:pt idx="3">
                  <c:v>Missed or late with rent/mortgage payments </c:v>
                </c:pt>
              </c:strCache>
            </c:strRef>
          </c:cat>
          <c:val>
            <c:numRef>
              <c:f>Sheet2!$B$32:$B$35</c:f>
              <c:numCache>
                <c:formatCode>General</c:formatCode>
                <c:ptCount val="4"/>
                <c:pt idx="0">
                  <c:v>42.9</c:v>
                </c:pt>
                <c:pt idx="1">
                  <c:v>27.2</c:v>
                </c:pt>
                <c:pt idx="2">
                  <c:v>16.6</c:v>
                </c:pt>
                <c:pt idx="3">
                  <c:v>12.7</c:v>
                </c:pt>
              </c:numCache>
            </c:numRef>
          </c:val>
        </c:ser>
        <c:ser>
          <c:idx val="1"/>
          <c:order val="1"/>
          <c:tx>
            <c:strRef>
              <c:f>Sheet2!$C$31</c:f>
              <c:strCache>
                <c:ptCount val="1"/>
                <c:pt idx="0">
                  <c:v>UK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Sheet2!$A$32:$A$35</c:f>
              <c:strCache>
                <c:ptCount val="4"/>
                <c:pt idx="0">
                  <c:v>Struggled with gas and electricity bills</c:v>
                </c:pt>
                <c:pt idx="1">
                  <c:v>Struggled with childcare costs</c:v>
                </c:pt>
                <c:pt idx="2">
                  <c:v>Missed meals because of financial difficulty</c:v>
                </c:pt>
                <c:pt idx="3">
                  <c:v>Missed or late with rent/mortgage payments </c:v>
                </c:pt>
              </c:strCache>
            </c:strRef>
          </c:cat>
          <c:val>
            <c:numRef>
              <c:f>Sheet2!$C$32:$C$35</c:f>
              <c:numCache>
                <c:formatCode>General</c:formatCode>
                <c:ptCount val="4"/>
                <c:pt idx="0">
                  <c:v>31.6</c:v>
                </c:pt>
                <c:pt idx="1">
                  <c:v>14.7</c:v>
                </c:pt>
                <c:pt idx="2">
                  <c:v>13.8</c:v>
                </c:pt>
                <c:pt idx="3">
                  <c:v>10.9</c:v>
                </c:pt>
              </c:numCache>
            </c:numRef>
          </c:val>
        </c:ser>
        <c:dLbls>
          <c:showLegendKey val="0"/>
          <c:showVal val="0"/>
          <c:showCatName val="0"/>
          <c:showSerName val="0"/>
          <c:showPercent val="0"/>
          <c:showBubbleSize val="0"/>
        </c:dLbls>
        <c:gapWidth val="219"/>
        <c:overlap val="-27"/>
        <c:axId val="2076781288"/>
        <c:axId val="2076789976"/>
      </c:barChart>
      <c:catAx>
        <c:axId val="2076781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6789976"/>
        <c:crosses val="autoZero"/>
        <c:auto val="1"/>
        <c:lblAlgn val="ctr"/>
        <c:lblOffset val="100"/>
        <c:noMultiLvlLbl val="0"/>
      </c:catAx>
      <c:valAx>
        <c:axId val="2076789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6781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 6: Efforts to help with bills and living</a:t>
            </a:r>
            <a:r>
              <a:rPr lang="en-GB" baseline="0"/>
              <a:t> expenses</a:t>
            </a:r>
            <a:endParaRPr lang="en-GB"/>
          </a:p>
        </c:rich>
      </c:tx>
      <c:overlay val="0"/>
      <c:spPr>
        <a:noFill/>
        <a:ln>
          <a:noFill/>
        </a:ln>
        <a:effectLst/>
      </c:spPr>
    </c:title>
    <c:autoTitleDeleted val="0"/>
    <c:plotArea>
      <c:layout/>
      <c:barChart>
        <c:barDir val="col"/>
        <c:grouping val="clustered"/>
        <c:varyColors val="0"/>
        <c:ser>
          <c:idx val="0"/>
          <c:order val="0"/>
          <c:tx>
            <c:strRef>
              <c:f>Sheet2!$B$37</c:f>
              <c:strCache>
                <c:ptCount val="1"/>
                <c:pt idx="0">
                  <c:v>Northern Ireland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Sheet2!$A$38:$A$41</c:f>
              <c:strCache>
                <c:ptCount val="4"/>
                <c:pt idx="0">
                  <c:v>Worked extra hours in main job</c:v>
                </c:pt>
                <c:pt idx="1">
                  <c:v>Worked night/weekend shits to get higher rates</c:v>
                </c:pt>
                <c:pt idx="2">
                  <c:v>Borrowed money</c:v>
                </c:pt>
                <c:pt idx="3">
                  <c:v>Taken additional job</c:v>
                </c:pt>
              </c:strCache>
            </c:strRef>
          </c:cat>
          <c:val>
            <c:numRef>
              <c:f>Sheet2!$B$38:$B$41</c:f>
              <c:numCache>
                <c:formatCode>0.0</c:formatCode>
                <c:ptCount val="4"/>
                <c:pt idx="0">
                  <c:v>50.3</c:v>
                </c:pt>
                <c:pt idx="1">
                  <c:v>36.80000000000001</c:v>
                </c:pt>
                <c:pt idx="2">
                  <c:v>36.80000000000001</c:v>
                </c:pt>
                <c:pt idx="3">
                  <c:v>21.9</c:v>
                </c:pt>
              </c:numCache>
            </c:numRef>
          </c:val>
        </c:ser>
        <c:ser>
          <c:idx val="1"/>
          <c:order val="1"/>
          <c:tx>
            <c:strRef>
              <c:f>Sheet2!$C$37</c:f>
              <c:strCache>
                <c:ptCount val="1"/>
                <c:pt idx="0">
                  <c:v>UK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Sheet2!$A$38:$A$41</c:f>
              <c:strCache>
                <c:ptCount val="4"/>
                <c:pt idx="0">
                  <c:v>Worked extra hours in main job</c:v>
                </c:pt>
                <c:pt idx="1">
                  <c:v>Worked night/weekend shits to get higher rates</c:v>
                </c:pt>
                <c:pt idx="2">
                  <c:v>Borrowed money</c:v>
                </c:pt>
                <c:pt idx="3">
                  <c:v>Taken additional job</c:v>
                </c:pt>
              </c:strCache>
            </c:strRef>
          </c:cat>
          <c:val>
            <c:numRef>
              <c:f>Sheet2!$C$38:$C$41</c:f>
              <c:numCache>
                <c:formatCode>0.0</c:formatCode>
                <c:ptCount val="4"/>
                <c:pt idx="0">
                  <c:v>51.0</c:v>
                </c:pt>
                <c:pt idx="1">
                  <c:v>40.4</c:v>
                </c:pt>
                <c:pt idx="2">
                  <c:v>33.1</c:v>
                </c:pt>
                <c:pt idx="3">
                  <c:v>19.8</c:v>
                </c:pt>
              </c:numCache>
            </c:numRef>
          </c:val>
        </c:ser>
        <c:dLbls>
          <c:showLegendKey val="0"/>
          <c:showVal val="0"/>
          <c:showCatName val="0"/>
          <c:showSerName val="0"/>
          <c:showPercent val="0"/>
          <c:showBubbleSize val="0"/>
        </c:dLbls>
        <c:gapWidth val="219"/>
        <c:overlap val="-27"/>
        <c:axId val="2131134056"/>
        <c:axId val="2131137464"/>
      </c:barChart>
      <c:catAx>
        <c:axId val="2131134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137464"/>
        <c:crosses val="autoZero"/>
        <c:auto val="1"/>
        <c:lblAlgn val="ctr"/>
        <c:lblOffset val="100"/>
        <c:noMultiLvlLbl val="0"/>
      </c:catAx>
      <c:valAx>
        <c:axId val="2131137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134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 7: Nursing,</a:t>
            </a:r>
            <a:r>
              <a:rPr lang="en-GB" baseline="0"/>
              <a:t> Midwifery and Health Visiting Vacancy Rates </a:t>
            </a:r>
          </a:p>
          <a:p>
            <a:pPr>
              <a:defRPr sz="1400" b="0" i="0" u="none" strike="noStrike" kern="1200" spc="0" baseline="0">
                <a:solidFill>
                  <a:schemeClr val="tx1">
                    <a:lumMod val="65000"/>
                    <a:lumOff val="35000"/>
                  </a:schemeClr>
                </a:solidFill>
                <a:latin typeface="+mn-lt"/>
                <a:ea typeface="+mn-ea"/>
                <a:cs typeface="+mn-cs"/>
              </a:defRPr>
            </a:pPr>
            <a:r>
              <a:rPr lang="en-GB" baseline="0"/>
              <a:t>2011-2015 </a:t>
            </a:r>
            <a:endParaRPr lang="en-GB"/>
          </a:p>
        </c:rich>
      </c:tx>
      <c:overlay val="0"/>
      <c:spPr>
        <a:noFill/>
        <a:ln>
          <a:noFill/>
        </a:ln>
        <a:effectLst/>
      </c:spPr>
    </c:title>
    <c:autoTitleDeleted val="0"/>
    <c:plotArea>
      <c:layout/>
      <c:lineChart>
        <c:grouping val="standard"/>
        <c:varyColors val="0"/>
        <c:ser>
          <c:idx val="0"/>
          <c:order val="0"/>
          <c:tx>
            <c:strRef>
              <c:f>Tables!$M$254</c:f>
              <c:strCache>
                <c:ptCount val="1"/>
                <c:pt idx="0">
                  <c:v>WTE Vacancy rate</c:v>
                </c:pt>
              </c:strCache>
            </c:strRef>
          </c:tx>
          <c:spPr>
            <a:ln w="28575" cap="rnd">
              <a:solidFill>
                <a:schemeClr val="accent1"/>
              </a:solidFill>
              <a:round/>
            </a:ln>
            <a:effectLst/>
          </c:spPr>
          <c:marker>
            <c:symbol val="none"/>
          </c:marker>
          <c:cat>
            <c:numRef>
              <c:f>Tables!$N$253:$U$253</c:f>
              <c:numCache>
                <c:formatCode>mmm\-yy</c:formatCode>
                <c:ptCount val="8"/>
                <c:pt idx="0">
                  <c:v>40787.0</c:v>
                </c:pt>
                <c:pt idx="1">
                  <c:v>40969.0</c:v>
                </c:pt>
                <c:pt idx="2">
                  <c:v>41153.0</c:v>
                </c:pt>
                <c:pt idx="3">
                  <c:v>41334.0</c:v>
                </c:pt>
                <c:pt idx="4">
                  <c:v>41518.0</c:v>
                </c:pt>
                <c:pt idx="5">
                  <c:v>41699.0</c:v>
                </c:pt>
                <c:pt idx="6">
                  <c:v>41883.0</c:v>
                </c:pt>
                <c:pt idx="7">
                  <c:v>42064.0</c:v>
                </c:pt>
              </c:numCache>
            </c:numRef>
          </c:cat>
          <c:val>
            <c:numRef>
              <c:f>Tables!$N$254:$U$254</c:f>
              <c:numCache>
                <c:formatCode>0.0%</c:formatCode>
                <c:ptCount val="8"/>
                <c:pt idx="0">
                  <c:v>0.022</c:v>
                </c:pt>
                <c:pt idx="1">
                  <c:v>0.026</c:v>
                </c:pt>
                <c:pt idx="2">
                  <c:v>0.024</c:v>
                </c:pt>
                <c:pt idx="3">
                  <c:v>0.026</c:v>
                </c:pt>
                <c:pt idx="4">
                  <c:v>0.023</c:v>
                </c:pt>
                <c:pt idx="5">
                  <c:v>0.023</c:v>
                </c:pt>
                <c:pt idx="6">
                  <c:v>0.031</c:v>
                </c:pt>
                <c:pt idx="7">
                  <c:v>0.038</c:v>
                </c:pt>
              </c:numCache>
            </c:numRef>
          </c:val>
          <c:smooth val="0"/>
        </c:ser>
        <c:ser>
          <c:idx val="1"/>
          <c:order val="1"/>
          <c:tx>
            <c:strRef>
              <c:f>Tables!$M$255</c:f>
              <c:strCache>
                <c:ptCount val="1"/>
                <c:pt idx="0">
                  <c:v>WTE Long term rate </c:v>
                </c:pt>
              </c:strCache>
            </c:strRef>
          </c:tx>
          <c:spPr>
            <a:ln w="28575" cap="rnd">
              <a:solidFill>
                <a:schemeClr val="accent2"/>
              </a:solidFill>
              <a:round/>
            </a:ln>
            <a:effectLst/>
          </c:spPr>
          <c:marker>
            <c:symbol val="none"/>
          </c:marker>
          <c:cat>
            <c:numRef>
              <c:f>Tables!$N$253:$U$253</c:f>
              <c:numCache>
                <c:formatCode>mmm\-yy</c:formatCode>
                <c:ptCount val="8"/>
                <c:pt idx="0">
                  <c:v>40787.0</c:v>
                </c:pt>
                <c:pt idx="1">
                  <c:v>40969.0</c:v>
                </c:pt>
                <c:pt idx="2">
                  <c:v>41153.0</c:v>
                </c:pt>
                <c:pt idx="3">
                  <c:v>41334.0</c:v>
                </c:pt>
                <c:pt idx="4">
                  <c:v>41518.0</c:v>
                </c:pt>
                <c:pt idx="5">
                  <c:v>41699.0</c:v>
                </c:pt>
                <c:pt idx="6">
                  <c:v>41883.0</c:v>
                </c:pt>
                <c:pt idx="7">
                  <c:v>42064.0</c:v>
                </c:pt>
              </c:numCache>
            </c:numRef>
          </c:cat>
          <c:val>
            <c:numRef>
              <c:f>Tables!$N$255:$U$255</c:f>
              <c:numCache>
                <c:formatCode>0.0%</c:formatCode>
                <c:ptCount val="8"/>
                <c:pt idx="0">
                  <c:v>0.01</c:v>
                </c:pt>
                <c:pt idx="1">
                  <c:v>0.01</c:v>
                </c:pt>
                <c:pt idx="2">
                  <c:v>0.008</c:v>
                </c:pt>
                <c:pt idx="3">
                  <c:v>0.009</c:v>
                </c:pt>
                <c:pt idx="4">
                  <c:v>0.01</c:v>
                </c:pt>
                <c:pt idx="5">
                  <c:v>0.006</c:v>
                </c:pt>
                <c:pt idx="6">
                  <c:v>0.01</c:v>
                </c:pt>
                <c:pt idx="7">
                  <c:v>0.015</c:v>
                </c:pt>
              </c:numCache>
            </c:numRef>
          </c:val>
          <c:smooth val="0"/>
        </c:ser>
        <c:dLbls>
          <c:showLegendKey val="0"/>
          <c:showVal val="0"/>
          <c:showCatName val="0"/>
          <c:showSerName val="0"/>
          <c:showPercent val="0"/>
          <c:showBubbleSize val="0"/>
        </c:dLbls>
        <c:marker val="1"/>
        <c:smooth val="0"/>
        <c:axId val="2077015784"/>
        <c:axId val="2076958232"/>
      </c:lineChart>
      <c:dateAx>
        <c:axId val="207701578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6958232"/>
        <c:crosses val="autoZero"/>
        <c:auto val="1"/>
        <c:lblOffset val="100"/>
        <c:baseTimeUnit val="months"/>
        <c:majorUnit val="6.0"/>
        <c:majorTimeUnit val="months"/>
      </c:dateAx>
      <c:valAx>
        <c:axId val="20769582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7015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 8: Management of staffing</a:t>
            </a:r>
            <a:r>
              <a:rPr lang="en-GB" baseline="0"/>
              <a:t> levels </a:t>
            </a:r>
            <a:endParaRPr lang="en-GB"/>
          </a:p>
        </c:rich>
      </c:tx>
      <c:overlay val="0"/>
      <c:spPr>
        <a:noFill/>
        <a:ln>
          <a:noFill/>
        </a:ln>
        <a:effectLst/>
      </c:spPr>
    </c:title>
    <c:autoTitleDeleted val="0"/>
    <c:plotArea>
      <c:layout/>
      <c:barChart>
        <c:barDir val="col"/>
        <c:grouping val="clustered"/>
        <c:varyColors val="0"/>
        <c:ser>
          <c:idx val="0"/>
          <c:order val="0"/>
          <c:tx>
            <c:strRef>
              <c:f>Sheet2!$A$3</c:f>
              <c:strCache>
                <c:ptCount val="1"/>
                <c:pt idx="0">
                  <c:v>Northern Ireland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Sheet2!$B$2:$D$2</c:f>
              <c:strCache>
                <c:ptCount val="3"/>
                <c:pt idx="0">
                  <c:v>Recruitment freezes with posts unfilled</c:v>
                </c:pt>
                <c:pt idx="1">
                  <c:v>Skill-mix changes</c:v>
                </c:pt>
                <c:pt idx="2">
                  <c:v>Posts cut</c:v>
                </c:pt>
              </c:strCache>
            </c:strRef>
          </c:cat>
          <c:val>
            <c:numRef>
              <c:f>Sheet2!$B$3:$D$3</c:f>
              <c:numCache>
                <c:formatCode>General</c:formatCode>
                <c:ptCount val="3"/>
                <c:pt idx="0">
                  <c:v>60.0</c:v>
                </c:pt>
                <c:pt idx="1">
                  <c:v>40.0</c:v>
                </c:pt>
                <c:pt idx="2">
                  <c:v>19.0</c:v>
                </c:pt>
              </c:numCache>
            </c:numRef>
          </c:val>
        </c:ser>
        <c:ser>
          <c:idx val="1"/>
          <c:order val="1"/>
          <c:tx>
            <c:strRef>
              <c:f>Sheet2!$A$4</c:f>
              <c:strCache>
                <c:ptCount val="1"/>
                <c:pt idx="0">
                  <c:v>UK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Sheet2!$B$2:$D$2</c:f>
              <c:strCache>
                <c:ptCount val="3"/>
                <c:pt idx="0">
                  <c:v>Recruitment freezes with posts unfilled</c:v>
                </c:pt>
                <c:pt idx="1">
                  <c:v>Skill-mix changes</c:v>
                </c:pt>
                <c:pt idx="2">
                  <c:v>Posts cut</c:v>
                </c:pt>
              </c:strCache>
            </c:strRef>
          </c:cat>
          <c:val>
            <c:numRef>
              <c:f>Sheet2!$B$4:$D$4</c:f>
              <c:numCache>
                <c:formatCode>General</c:formatCode>
                <c:ptCount val="3"/>
                <c:pt idx="0">
                  <c:v>45.0</c:v>
                </c:pt>
                <c:pt idx="1">
                  <c:v>45.0</c:v>
                </c:pt>
                <c:pt idx="2">
                  <c:v>19.0</c:v>
                </c:pt>
              </c:numCache>
            </c:numRef>
          </c:val>
        </c:ser>
        <c:dLbls>
          <c:showLegendKey val="0"/>
          <c:showVal val="0"/>
          <c:showCatName val="0"/>
          <c:showSerName val="0"/>
          <c:showPercent val="0"/>
          <c:showBubbleSize val="0"/>
        </c:dLbls>
        <c:gapWidth val="219"/>
        <c:overlap val="-27"/>
        <c:axId val="2076855944"/>
        <c:axId val="2076832536"/>
      </c:barChart>
      <c:catAx>
        <c:axId val="2076855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6832536"/>
        <c:crosses val="autoZero"/>
        <c:auto val="1"/>
        <c:lblAlgn val="ctr"/>
        <c:lblOffset val="100"/>
        <c:noMultiLvlLbl val="0"/>
      </c:catAx>
      <c:valAx>
        <c:axId val="2076832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6855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 9: Workload</a:t>
            </a:r>
            <a:r>
              <a:rPr lang="en-GB" baseline="0"/>
              <a:t> and pressure</a:t>
            </a:r>
            <a:endParaRPr lang="en-GB"/>
          </a:p>
        </c:rich>
      </c:tx>
      <c:overlay val="0"/>
      <c:spPr>
        <a:noFill/>
        <a:ln>
          <a:noFill/>
        </a:ln>
        <a:effectLst/>
      </c:spPr>
    </c:title>
    <c:autoTitleDeleted val="0"/>
    <c:plotArea>
      <c:layout/>
      <c:barChart>
        <c:barDir val="col"/>
        <c:grouping val="clustered"/>
        <c:varyColors val="0"/>
        <c:ser>
          <c:idx val="0"/>
          <c:order val="0"/>
          <c:tx>
            <c:strRef>
              <c:f>Sheet2!$B$48</c:f>
              <c:strCache>
                <c:ptCount val="1"/>
                <c:pt idx="0">
                  <c:v>Northern Ireland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Sheet2!$A$49:$A$51</c:f>
              <c:strCache>
                <c:ptCount val="3"/>
                <c:pt idx="0">
                  <c:v>I am under too much pressure at work</c:v>
                </c:pt>
                <c:pt idx="1">
                  <c:v>Too much of my time is spent on non-nursing duties</c:v>
                </c:pt>
                <c:pt idx="2">
                  <c:v>I am too busy to provide the level I would like</c:v>
                </c:pt>
              </c:strCache>
            </c:strRef>
          </c:cat>
          <c:val>
            <c:numRef>
              <c:f>Sheet2!$B$49:$B$51</c:f>
              <c:numCache>
                <c:formatCode>General</c:formatCode>
                <c:ptCount val="3"/>
                <c:pt idx="0">
                  <c:v>80.0</c:v>
                </c:pt>
                <c:pt idx="1">
                  <c:v>76.0</c:v>
                </c:pt>
                <c:pt idx="2">
                  <c:v>80.0</c:v>
                </c:pt>
              </c:numCache>
            </c:numRef>
          </c:val>
        </c:ser>
        <c:ser>
          <c:idx val="1"/>
          <c:order val="1"/>
          <c:tx>
            <c:strRef>
              <c:f>Sheet2!$C$48</c:f>
              <c:strCache>
                <c:ptCount val="1"/>
                <c:pt idx="0">
                  <c:v>UK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Sheet2!$A$49:$A$51</c:f>
              <c:strCache>
                <c:ptCount val="3"/>
                <c:pt idx="0">
                  <c:v>I am under too much pressure at work</c:v>
                </c:pt>
                <c:pt idx="1">
                  <c:v>Too much of my time is spent on non-nursing duties</c:v>
                </c:pt>
                <c:pt idx="2">
                  <c:v>I am too busy to provide the level I would like</c:v>
                </c:pt>
              </c:strCache>
            </c:strRef>
          </c:cat>
          <c:val>
            <c:numRef>
              <c:f>Sheet2!$C$49:$C$51</c:f>
              <c:numCache>
                <c:formatCode>General</c:formatCode>
                <c:ptCount val="3"/>
                <c:pt idx="0">
                  <c:v>69.0</c:v>
                </c:pt>
                <c:pt idx="1">
                  <c:v>62.0</c:v>
                </c:pt>
                <c:pt idx="2">
                  <c:v>65.0</c:v>
                </c:pt>
              </c:numCache>
            </c:numRef>
          </c:val>
        </c:ser>
        <c:dLbls>
          <c:showLegendKey val="0"/>
          <c:showVal val="0"/>
          <c:showCatName val="0"/>
          <c:showSerName val="0"/>
          <c:showPercent val="0"/>
          <c:showBubbleSize val="0"/>
        </c:dLbls>
        <c:gapWidth val="219"/>
        <c:overlap val="-27"/>
        <c:axId val="2075177320"/>
        <c:axId val="2071600536"/>
      </c:barChart>
      <c:catAx>
        <c:axId val="2075177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600536"/>
        <c:crosses val="autoZero"/>
        <c:auto val="1"/>
        <c:lblAlgn val="ctr"/>
        <c:lblOffset val="100"/>
        <c:noMultiLvlLbl val="0"/>
      </c:catAx>
      <c:valAx>
        <c:axId val="2071600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5177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3537-5B22-5E43-A8FA-43B2D829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2865</Words>
  <Characters>16335</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19162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McIlroy Rachael</dc:creator>
  <cp:keywords/>
  <dc:description/>
  <cp:lastModifiedBy>Matthew  Bateman</cp:lastModifiedBy>
  <cp:revision>2</cp:revision>
  <cp:lastPrinted>2016-02-15T16:53:00Z</cp:lastPrinted>
  <dcterms:created xsi:type="dcterms:W3CDTF">2016-02-26T15:13:00Z</dcterms:created>
  <dcterms:modified xsi:type="dcterms:W3CDTF">2016-02-26T15:13:00Z</dcterms:modified>
</cp:coreProperties>
</file>