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96" w:rsidRPr="006C5C56" w:rsidRDefault="00506596" w:rsidP="00506596">
      <w:pPr>
        <w:rPr>
          <w:rFonts w:ascii="Arial" w:hAnsi="Arial" w:cs="Arial"/>
          <w:b/>
          <w:sz w:val="28"/>
          <w:szCs w:val="28"/>
        </w:rPr>
      </w:pPr>
      <w:bookmarkStart w:id="0" w:name="_GoBack"/>
      <w:bookmarkEnd w:id="0"/>
      <w:r w:rsidRPr="006C5C56">
        <w:rPr>
          <w:rFonts w:ascii="Arial" w:hAnsi="Arial" w:cs="Arial"/>
          <w:b/>
          <w:sz w:val="28"/>
          <w:szCs w:val="28"/>
        </w:rPr>
        <w:t xml:space="preserve">Consultation on statutory guidance required by </w:t>
      </w:r>
      <w:r w:rsidR="003F7EA7">
        <w:rPr>
          <w:rFonts w:ascii="Arial" w:hAnsi="Arial" w:cs="Arial"/>
          <w:b/>
          <w:sz w:val="28"/>
          <w:szCs w:val="28"/>
        </w:rPr>
        <w:t xml:space="preserve">Section 25D of </w:t>
      </w:r>
      <w:r w:rsidR="00777060" w:rsidRPr="006C5C56">
        <w:rPr>
          <w:rFonts w:ascii="Arial" w:hAnsi="Arial" w:cs="Arial"/>
          <w:b/>
          <w:sz w:val="28"/>
          <w:szCs w:val="28"/>
        </w:rPr>
        <w:t xml:space="preserve">the </w:t>
      </w:r>
      <w:r w:rsidRPr="006C5C56">
        <w:rPr>
          <w:rFonts w:ascii="Arial" w:hAnsi="Arial" w:cs="Arial"/>
          <w:b/>
          <w:sz w:val="28"/>
          <w:szCs w:val="28"/>
        </w:rPr>
        <w:t>Nurse Staffing Levels (Wales) Act 2016</w:t>
      </w:r>
    </w:p>
    <w:p w:rsidR="001B4C20" w:rsidRDefault="001B4C20"/>
    <w:tbl>
      <w:tblPr>
        <w:tblW w:w="8568" w:type="dxa"/>
        <w:tblLook w:val="01E0" w:firstRow="1" w:lastRow="1" w:firstColumn="1" w:lastColumn="1" w:noHBand="0" w:noVBand="0"/>
      </w:tblPr>
      <w:tblGrid>
        <w:gridCol w:w="2448"/>
        <w:gridCol w:w="6120"/>
      </w:tblGrid>
      <w:tr w:rsidR="007D7D82" w:rsidRPr="009F12AB" w:rsidTr="00E52C3A">
        <w:trPr>
          <w:trHeight w:val="3042"/>
        </w:trPr>
        <w:tc>
          <w:tcPr>
            <w:tcW w:w="2448" w:type="dxa"/>
            <w:shd w:val="clear" w:color="auto" w:fill="auto"/>
          </w:tcPr>
          <w:p w:rsidR="007D7D82" w:rsidRPr="009F12AB" w:rsidRDefault="007D7D82" w:rsidP="00E52C3A">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7D7D82" w:rsidRPr="009F12AB" w:rsidRDefault="007D7D82" w:rsidP="00E52C3A">
            <w:pPr>
              <w:rPr>
                <w:rFonts w:ascii="Arial" w:hAnsi="Arial" w:cs="Arial"/>
                <w:color w:val="000000"/>
              </w:rPr>
            </w:pPr>
          </w:p>
          <w:p w:rsidR="007D7D82" w:rsidRPr="009F12AB" w:rsidRDefault="007D7D82" w:rsidP="00E52C3A">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r w:rsidR="00C01D4C">
              <w:rPr>
                <w:rFonts w:ascii="Arial" w:hAnsi="Arial" w:cs="Arial"/>
                <w:color w:val="000000"/>
              </w:rPr>
              <w:t xml:space="preserve">Lisa Turnbull </w:t>
            </w:r>
            <w:r w:rsidR="00A45739" w:rsidRPr="00A45739">
              <w:rPr>
                <w:rFonts w:ascii="Arial" w:hAnsi="Arial" w:cs="Arial"/>
                <w:color w:val="000000"/>
              </w:rPr>
              <w:t>(this name to be used for queries only, please ascribe authorship to the organisation)</w:t>
            </w:r>
          </w:p>
          <w:p w:rsidR="007D7D82" w:rsidRPr="009F12AB" w:rsidRDefault="007D7D82" w:rsidP="00E52C3A">
            <w:pPr>
              <w:tabs>
                <w:tab w:val="left" w:pos="1430"/>
              </w:tabs>
              <w:rPr>
                <w:rFonts w:ascii="Arial" w:hAnsi="Arial" w:cs="Arial"/>
                <w:color w:val="000000"/>
              </w:rPr>
            </w:pPr>
          </w:p>
          <w:p w:rsidR="007D7D82" w:rsidRPr="009F12AB" w:rsidRDefault="007D7D82" w:rsidP="00E52C3A">
            <w:pPr>
              <w:tabs>
                <w:tab w:val="left" w:pos="1430"/>
              </w:tabs>
              <w:rPr>
                <w:rFonts w:ascii="Arial" w:hAnsi="Arial" w:cs="Arial"/>
                <w:color w:val="000000"/>
              </w:rPr>
            </w:pPr>
            <w:r w:rsidRPr="009F12AB">
              <w:rPr>
                <w:rFonts w:ascii="Arial" w:hAnsi="Arial" w:cs="Arial"/>
                <w:color w:val="000000"/>
              </w:rPr>
              <w:t>Organisation (if applicable):</w:t>
            </w:r>
            <w:r w:rsidR="00A45739">
              <w:rPr>
                <w:rFonts w:ascii="Arial" w:hAnsi="Arial" w:cs="Arial"/>
                <w:color w:val="000000"/>
              </w:rPr>
              <w:t xml:space="preserve"> Royal College of Nursing Wales</w:t>
            </w:r>
          </w:p>
          <w:p w:rsidR="007D7D82" w:rsidRPr="009F12AB" w:rsidRDefault="007D7D82" w:rsidP="00E52C3A">
            <w:pPr>
              <w:tabs>
                <w:tab w:val="left" w:pos="1430"/>
              </w:tabs>
              <w:rPr>
                <w:rFonts w:ascii="Arial" w:hAnsi="Arial" w:cs="Arial"/>
                <w:color w:val="000000"/>
              </w:rPr>
            </w:pPr>
          </w:p>
          <w:p w:rsidR="007D7D82" w:rsidRPr="009F12AB" w:rsidRDefault="007D7D82" w:rsidP="00E52C3A">
            <w:pPr>
              <w:tabs>
                <w:tab w:val="left" w:pos="1430"/>
              </w:tabs>
              <w:rPr>
                <w:rFonts w:ascii="Arial" w:hAnsi="Arial" w:cs="Arial"/>
                <w:color w:val="000000"/>
              </w:rPr>
            </w:pPr>
            <w:r w:rsidRPr="009F12AB">
              <w:rPr>
                <w:rFonts w:ascii="Arial" w:hAnsi="Arial" w:cs="Arial"/>
                <w:color w:val="000000"/>
              </w:rPr>
              <w:t>email / telephone number:</w:t>
            </w:r>
            <w:r w:rsidR="00A45739">
              <w:rPr>
                <w:rFonts w:ascii="Arial" w:hAnsi="Arial" w:cs="Arial"/>
                <w:color w:val="000000"/>
              </w:rPr>
              <w:t xml:space="preserve"> 02920 680 738 </w:t>
            </w:r>
          </w:p>
          <w:p w:rsidR="007D7D82" w:rsidRPr="009F12AB" w:rsidRDefault="007D7D82" w:rsidP="00E52C3A">
            <w:pPr>
              <w:tabs>
                <w:tab w:val="left" w:pos="1430"/>
              </w:tabs>
              <w:rPr>
                <w:rFonts w:ascii="Arial" w:hAnsi="Arial" w:cs="Arial"/>
                <w:color w:val="000000"/>
              </w:rPr>
            </w:pPr>
          </w:p>
          <w:p w:rsidR="007D7D82" w:rsidRDefault="007D7D82" w:rsidP="00E52C3A">
            <w:pPr>
              <w:tabs>
                <w:tab w:val="left" w:pos="1430"/>
              </w:tabs>
              <w:rPr>
                <w:rFonts w:ascii="Arial" w:hAnsi="Arial" w:cs="Arial"/>
                <w:color w:val="000000"/>
              </w:rPr>
            </w:pPr>
            <w:r w:rsidRPr="009F12AB">
              <w:rPr>
                <w:rFonts w:ascii="Arial" w:hAnsi="Arial" w:cs="Arial"/>
                <w:color w:val="000000"/>
              </w:rPr>
              <w:t>Your address:</w:t>
            </w:r>
            <w:r w:rsidR="00A45739">
              <w:rPr>
                <w:rFonts w:ascii="Arial" w:hAnsi="Arial" w:cs="Arial"/>
                <w:color w:val="000000"/>
              </w:rPr>
              <w:t xml:space="preserve"> </w:t>
            </w:r>
            <w:r w:rsidR="00A45739" w:rsidRPr="00A45739">
              <w:rPr>
                <w:rFonts w:ascii="Arial" w:hAnsi="Arial" w:cs="Arial"/>
                <w:color w:val="000000"/>
              </w:rPr>
              <w:t>Royal College of Nursing Wales, Ty Maeth, King George V Drive East, Cardiff, CF14 4XZ</w:t>
            </w:r>
          </w:p>
          <w:p w:rsidR="003F7DC1" w:rsidRDefault="003F7DC1" w:rsidP="00E52C3A">
            <w:pPr>
              <w:tabs>
                <w:tab w:val="left" w:pos="143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3729"/>
              <w:gridCol w:w="694"/>
            </w:tblGrid>
            <w:tr w:rsidR="003F7DC1" w:rsidTr="003F7DC1">
              <w:trPr>
                <w:trHeight w:val="603"/>
              </w:trPr>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7DC1" w:rsidRDefault="003F7DC1" w:rsidP="00833690">
                  <w:pPr>
                    <w:spacing w:before="120"/>
                    <w:rPr>
                      <w:rFonts w:ascii="Arial" w:eastAsia="Calibri" w:hAnsi="Arial" w:cs="Arial"/>
                      <w:b/>
                    </w:rPr>
                  </w:pPr>
                  <w:r>
                    <w:rPr>
                      <w:rFonts w:ascii="Arial" w:eastAsia="Calibri" w:hAnsi="Arial" w:cs="Arial"/>
                      <w:b/>
                    </w:rPr>
                    <w:t>I am a/an</w:t>
                  </w:r>
                </w:p>
                <w:p w:rsidR="003F7DC1" w:rsidRDefault="003F7DC1" w:rsidP="00833690">
                  <w:pPr>
                    <w:rPr>
                      <w:rFonts w:ascii="Arial" w:eastAsia="Calibri" w:hAnsi="Arial" w:cs="Arial"/>
                      <w:b/>
                    </w:rPr>
                  </w:pPr>
                  <w:r>
                    <w:rPr>
                      <w:rFonts w:ascii="Arial" w:eastAsia="Calibri" w:hAnsi="Arial" w:cs="Arial"/>
                      <w:bCs/>
                      <w:i/>
                      <w:iCs/>
                    </w:rPr>
                    <w:t>(please select one from the following)</w:t>
                  </w: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Patient / Family member or carer of a patient</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Member of the public</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Member of NHS staff</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rPr>
                      <w:rFonts w:ascii="Arial" w:eastAsia="Calibri" w:hAnsi="Arial"/>
                    </w:rPr>
                  </w:pPr>
                  <w:r>
                    <w:rPr>
                      <w:rFonts w:ascii="Arial" w:eastAsia="Calibri" w:hAnsi="Arial"/>
                    </w:rPr>
                    <w:t>Local Health Board / NHS Trust</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Organisation with an interest in the health service</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A45739" w:rsidP="00833690">
                  <w:pPr>
                    <w:jc w:val="center"/>
                    <w:rPr>
                      <w:rFonts w:ascii="Arial" w:eastAsia="Calibri" w:hAnsi="Arial" w:cs="Arial"/>
                      <w:b/>
                    </w:rPr>
                  </w:pPr>
                  <w:r>
                    <w:rPr>
                      <w:rFonts w:ascii="Arial" w:eastAsia="Calibri" w:hAnsi="Arial" w:cs="Arial"/>
                      <w:b/>
                    </w:rPr>
                    <w:sym w:font="Wingdings" w:char="F0FC"/>
                  </w: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Voluntary sector representative (community group, volunteer group, self-help group, cooperative, enterprise, religious group, not-for-profit organisation)</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r w:rsidR="003F7DC1" w:rsidTr="003F7DC1">
              <w:trPr>
                <w:trHeight w:val="559"/>
              </w:trPr>
              <w:tc>
                <w:tcPr>
                  <w:tcW w:w="124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7DC1" w:rsidRDefault="003F7DC1" w:rsidP="00833690">
                  <w:pPr>
                    <w:rPr>
                      <w:rFonts w:ascii="Arial" w:eastAsia="Calibri" w:hAnsi="Arial" w:cs="Arial"/>
                      <w:b/>
                    </w:rPr>
                  </w:pPr>
                </w:p>
              </w:tc>
              <w:tc>
                <w:tcPr>
                  <w:tcW w:w="3163" w:type="pct"/>
                  <w:tcBorders>
                    <w:top w:val="single" w:sz="4" w:space="0" w:color="auto"/>
                    <w:left w:val="single" w:sz="4" w:space="0" w:color="auto"/>
                    <w:bottom w:val="single" w:sz="4" w:space="0" w:color="auto"/>
                    <w:right w:val="single" w:sz="4" w:space="0" w:color="auto"/>
                  </w:tcBorders>
                  <w:vAlign w:val="center"/>
                  <w:hideMark/>
                </w:tcPr>
                <w:p w:rsidR="003F7DC1" w:rsidRDefault="003F7DC1" w:rsidP="00833690">
                  <w:pPr>
                    <w:rPr>
                      <w:rFonts w:ascii="Arial" w:eastAsia="Calibri" w:hAnsi="Arial"/>
                    </w:rPr>
                  </w:pPr>
                  <w:r>
                    <w:rPr>
                      <w:rFonts w:ascii="Arial" w:eastAsia="Calibri" w:hAnsi="Arial"/>
                    </w:rPr>
                    <w:t>Other group not listed above</w:t>
                  </w:r>
                </w:p>
              </w:tc>
              <w:tc>
                <w:tcPr>
                  <w:tcW w:w="589" w:type="pct"/>
                  <w:tcBorders>
                    <w:top w:val="single" w:sz="4" w:space="0" w:color="auto"/>
                    <w:left w:val="single" w:sz="4" w:space="0" w:color="auto"/>
                    <w:bottom w:val="single" w:sz="4" w:space="0" w:color="auto"/>
                    <w:right w:val="single" w:sz="4" w:space="0" w:color="auto"/>
                  </w:tcBorders>
                  <w:vAlign w:val="center"/>
                </w:tcPr>
                <w:p w:rsidR="003F7DC1" w:rsidRDefault="003F7DC1" w:rsidP="00833690">
                  <w:pPr>
                    <w:jc w:val="center"/>
                    <w:rPr>
                      <w:rFonts w:ascii="Arial" w:eastAsia="Calibri" w:hAnsi="Arial" w:cs="Arial"/>
                      <w:b/>
                    </w:rPr>
                  </w:pPr>
                </w:p>
              </w:tc>
            </w:tr>
          </w:tbl>
          <w:p w:rsidR="003F7DC1" w:rsidRPr="009F12AB" w:rsidRDefault="003F7DC1" w:rsidP="00E52C3A">
            <w:pPr>
              <w:tabs>
                <w:tab w:val="left" w:pos="1430"/>
              </w:tabs>
              <w:rPr>
                <w:rFonts w:ascii="Arial" w:hAnsi="Arial" w:cs="Arial"/>
                <w:color w:val="000000"/>
              </w:rPr>
            </w:pPr>
          </w:p>
        </w:tc>
      </w:tr>
    </w:tbl>
    <w:p w:rsidR="003F7DC1" w:rsidRDefault="003F7DC1" w:rsidP="007D7D82">
      <w:pPr>
        <w:rPr>
          <w:rFonts w:ascii="Arial" w:hAnsi="Arial"/>
          <w:b/>
        </w:rPr>
      </w:pPr>
      <w:bookmarkStart w:id="1" w:name="Text19"/>
    </w:p>
    <w:p w:rsidR="003F7DC1" w:rsidRDefault="003F7DC1" w:rsidP="007D7D82">
      <w:pPr>
        <w:rPr>
          <w:rFonts w:ascii="Arial" w:hAnsi="Arial"/>
          <w:b/>
        </w:rPr>
      </w:pPr>
    </w:p>
    <w:tbl>
      <w:tblPr>
        <w:tblStyle w:val="TableGrid"/>
        <w:tblW w:w="0" w:type="auto"/>
        <w:tblInd w:w="0" w:type="dxa"/>
        <w:tblLayout w:type="fixed"/>
        <w:tblLook w:val="04A0" w:firstRow="1" w:lastRow="0" w:firstColumn="1" w:lastColumn="0" w:noHBand="0" w:noVBand="1"/>
      </w:tblPr>
      <w:tblGrid>
        <w:gridCol w:w="5911"/>
        <w:gridCol w:w="9"/>
        <w:gridCol w:w="425"/>
        <w:gridCol w:w="426"/>
        <w:gridCol w:w="425"/>
        <w:gridCol w:w="47"/>
        <w:gridCol w:w="434"/>
        <w:gridCol w:w="38"/>
        <w:gridCol w:w="473"/>
        <w:gridCol w:w="992"/>
      </w:tblGrid>
      <w:tr w:rsidR="003F7DC1" w:rsidTr="00BE14BB">
        <w:tc>
          <w:tcPr>
            <w:tcW w:w="9180" w:type="dxa"/>
            <w:gridSpan w:val="10"/>
            <w:shd w:val="clear" w:color="auto" w:fill="A6A6A6" w:themeFill="background1" w:themeFillShade="A6"/>
          </w:tcPr>
          <w:p w:rsidR="003F7DC1" w:rsidRPr="003F7DC1" w:rsidRDefault="000F1D82" w:rsidP="003F7DC1">
            <w:pPr>
              <w:pStyle w:val="ListParagraph"/>
              <w:numPr>
                <w:ilvl w:val="0"/>
                <w:numId w:val="13"/>
              </w:numPr>
              <w:rPr>
                <w:rFonts w:ascii="Arial" w:hAnsi="Arial" w:cs="Arial"/>
                <w:b/>
                <w:sz w:val="24"/>
                <w:szCs w:val="24"/>
              </w:rPr>
            </w:pPr>
            <w:r>
              <w:rPr>
                <w:rFonts w:ascii="Arial" w:hAnsi="Arial" w:cs="Arial"/>
                <w:b/>
                <w:sz w:val="24"/>
                <w:szCs w:val="24"/>
              </w:rPr>
              <w:t>On a scale of 1 to 5, where 1 is not helpful at all and 5 is very helpful; h</w:t>
            </w:r>
            <w:r w:rsidR="003F7DC1" w:rsidRPr="003F7DC1">
              <w:rPr>
                <w:rFonts w:ascii="Arial" w:hAnsi="Arial" w:cs="Arial"/>
                <w:b/>
                <w:sz w:val="24"/>
                <w:szCs w:val="24"/>
              </w:rPr>
              <w:t xml:space="preserve">ow helpful did you find the following parts of the guidance? </w:t>
            </w:r>
          </w:p>
          <w:p w:rsidR="003F7DC1" w:rsidRPr="003F7DC1" w:rsidRDefault="003F7DC1" w:rsidP="00833690">
            <w:pPr>
              <w:pStyle w:val="ListParagraph"/>
              <w:rPr>
                <w:rFonts w:ascii="Arial" w:hAnsi="Arial" w:cs="Arial"/>
                <w:b/>
                <w:sz w:val="24"/>
                <w:szCs w:val="24"/>
              </w:rPr>
            </w:pPr>
            <w:r w:rsidRPr="003F7DC1">
              <w:rPr>
                <w:rFonts w:ascii="Arial" w:hAnsi="Arial" w:cs="Arial"/>
                <w:b/>
                <w:sz w:val="24"/>
                <w:szCs w:val="24"/>
              </w:rPr>
              <w:t>(Please tick one option for each part)</w:t>
            </w:r>
          </w:p>
          <w:p w:rsidR="003F7DC1" w:rsidRPr="003F7DC1" w:rsidRDefault="003F7DC1" w:rsidP="00833690">
            <w:pPr>
              <w:pStyle w:val="ListParagraph"/>
              <w:rPr>
                <w:rFonts w:ascii="Arial" w:hAnsi="Arial" w:cs="Arial"/>
                <w:b/>
                <w:sz w:val="24"/>
                <w:szCs w:val="24"/>
              </w:rPr>
            </w:pPr>
          </w:p>
        </w:tc>
      </w:tr>
      <w:tr w:rsidR="000F1D82" w:rsidTr="000F1D82">
        <w:tc>
          <w:tcPr>
            <w:tcW w:w="5920" w:type="dxa"/>
            <w:gridSpan w:val="2"/>
            <w:shd w:val="clear" w:color="auto" w:fill="D9D9D9" w:themeFill="background1" w:themeFillShade="D9"/>
          </w:tcPr>
          <w:p w:rsidR="000F1D82" w:rsidRPr="003F7DC1" w:rsidRDefault="000F1D82" w:rsidP="00833690">
            <w:pPr>
              <w:rPr>
                <w:rFonts w:ascii="Arial" w:hAnsi="Arial" w:cs="Arial"/>
                <w:b/>
                <w:sz w:val="24"/>
                <w:szCs w:val="24"/>
              </w:rPr>
            </w:pPr>
            <w:r w:rsidRPr="003F7DC1">
              <w:rPr>
                <w:rFonts w:ascii="Arial" w:hAnsi="Arial" w:cs="Arial"/>
                <w:b/>
                <w:sz w:val="24"/>
                <w:szCs w:val="24"/>
              </w:rPr>
              <w:t>Part</w:t>
            </w:r>
          </w:p>
        </w:tc>
        <w:tc>
          <w:tcPr>
            <w:tcW w:w="425" w:type="dxa"/>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1</w:t>
            </w:r>
          </w:p>
        </w:tc>
        <w:tc>
          <w:tcPr>
            <w:tcW w:w="426" w:type="dxa"/>
            <w:shd w:val="clear" w:color="auto" w:fill="D9D9D9" w:themeFill="background1" w:themeFillShade="D9"/>
          </w:tcPr>
          <w:p w:rsidR="000F1D82" w:rsidRPr="003F7DC1" w:rsidRDefault="000F1D82" w:rsidP="00833690">
            <w:pPr>
              <w:rPr>
                <w:rFonts w:ascii="Arial" w:hAnsi="Arial" w:cs="Arial"/>
                <w:b/>
                <w:sz w:val="24"/>
                <w:szCs w:val="24"/>
              </w:rPr>
            </w:pPr>
            <w:r>
              <w:rPr>
                <w:rFonts w:ascii="Arial" w:hAnsi="Arial" w:cs="Arial"/>
                <w:b/>
                <w:sz w:val="24"/>
                <w:szCs w:val="24"/>
              </w:rPr>
              <w:t>2</w:t>
            </w:r>
          </w:p>
        </w:tc>
        <w:tc>
          <w:tcPr>
            <w:tcW w:w="472" w:type="dxa"/>
            <w:gridSpan w:val="2"/>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3</w:t>
            </w:r>
          </w:p>
        </w:tc>
        <w:tc>
          <w:tcPr>
            <w:tcW w:w="472" w:type="dxa"/>
            <w:gridSpan w:val="2"/>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4</w:t>
            </w:r>
          </w:p>
        </w:tc>
        <w:tc>
          <w:tcPr>
            <w:tcW w:w="473" w:type="dxa"/>
            <w:shd w:val="clear" w:color="auto" w:fill="D9D9D9" w:themeFill="background1" w:themeFillShade="D9"/>
          </w:tcPr>
          <w:p w:rsidR="000F1D82" w:rsidRPr="003F7DC1" w:rsidRDefault="000F1D82" w:rsidP="00833690">
            <w:pPr>
              <w:rPr>
                <w:rFonts w:ascii="Arial" w:hAnsi="Arial" w:cs="Arial"/>
                <w:b/>
                <w:sz w:val="24"/>
                <w:szCs w:val="24"/>
              </w:rPr>
            </w:pPr>
            <w:r>
              <w:rPr>
                <w:rFonts w:ascii="Arial" w:hAnsi="Arial" w:cs="Arial"/>
                <w:b/>
                <w:sz w:val="24"/>
                <w:szCs w:val="24"/>
              </w:rPr>
              <w:t>5</w:t>
            </w:r>
          </w:p>
        </w:tc>
        <w:tc>
          <w:tcPr>
            <w:tcW w:w="992" w:type="dxa"/>
            <w:shd w:val="clear" w:color="auto" w:fill="D9D9D9" w:themeFill="background1" w:themeFillShade="D9"/>
          </w:tcPr>
          <w:p w:rsidR="000F1D82" w:rsidRPr="003F7DC1" w:rsidRDefault="000F1D82" w:rsidP="00833690">
            <w:pPr>
              <w:rPr>
                <w:rFonts w:ascii="Arial" w:hAnsi="Arial" w:cs="Arial"/>
                <w:b/>
                <w:sz w:val="24"/>
                <w:szCs w:val="24"/>
              </w:rPr>
            </w:pPr>
            <w:r w:rsidRPr="003F7DC1">
              <w:rPr>
                <w:rFonts w:ascii="Arial" w:hAnsi="Arial" w:cs="Arial"/>
                <w:b/>
                <w:sz w:val="24"/>
                <w:szCs w:val="24"/>
              </w:rPr>
              <w:t>Don’t Know</w:t>
            </w:r>
          </w:p>
        </w:tc>
      </w:tr>
      <w:tr w:rsidR="000F1D82" w:rsidTr="009D7396">
        <w:tc>
          <w:tcPr>
            <w:tcW w:w="5920" w:type="dxa"/>
            <w:gridSpan w:val="2"/>
          </w:tcPr>
          <w:p w:rsidR="000F1D82" w:rsidRPr="003F7DC1" w:rsidRDefault="000F1D82" w:rsidP="00833690">
            <w:pPr>
              <w:rPr>
                <w:rFonts w:ascii="Arial" w:hAnsi="Arial" w:cs="Arial"/>
                <w:sz w:val="24"/>
                <w:szCs w:val="24"/>
              </w:rPr>
            </w:pPr>
            <w:r w:rsidRPr="003F7DC1">
              <w:rPr>
                <w:rFonts w:ascii="Arial" w:hAnsi="Arial" w:cs="Arial"/>
                <w:sz w:val="24"/>
                <w:szCs w:val="24"/>
              </w:rPr>
              <w:t>Overall approach</w:t>
            </w:r>
          </w:p>
          <w:p w:rsidR="000F1D82" w:rsidRPr="003F7DC1" w:rsidRDefault="000F1D82" w:rsidP="00833690">
            <w:pPr>
              <w:rPr>
                <w:rFonts w:ascii="Arial" w:hAnsi="Arial" w:cs="Arial"/>
                <w:sz w:val="24"/>
                <w:szCs w:val="24"/>
              </w:rPr>
            </w:pPr>
          </w:p>
        </w:tc>
        <w:tc>
          <w:tcPr>
            <w:tcW w:w="425" w:type="dxa"/>
          </w:tcPr>
          <w:p w:rsidR="000F1D82" w:rsidRPr="003B32B7" w:rsidRDefault="000F1D82" w:rsidP="00833690">
            <w:pPr>
              <w:rPr>
                <w:rFonts w:ascii="Arial" w:hAnsi="Arial" w:cs="Arial"/>
                <w:b/>
                <w:sz w:val="24"/>
                <w:szCs w:val="24"/>
              </w:rPr>
            </w:pPr>
          </w:p>
        </w:tc>
        <w:tc>
          <w:tcPr>
            <w:tcW w:w="426" w:type="dxa"/>
          </w:tcPr>
          <w:p w:rsidR="000F1D82" w:rsidRPr="003B32B7" w:rsidRDefault="003B32B7" w:rsidP="00833690">
            <w:pPr>
              <w:rPr>
                <w:rFonts w:ascii="Arial" w:hAnsi="Arial" w:cs="Arial"/>
                <w:b/>
                <w:sz w:val="24"/>
                <w:szCs w:val="24"/>
              </w:rPr>
            </w:pPr>
            <w:r w:rsidRPr="003B32B7">
              <w:rPr>
                <w:rFonts w:ascii="Arial" w:hAnsi="Arial" w:cs="Arial"/>
                <w:b/>
                <w:sz w:val="24"/>
                <w:szCs w:val="24"/>
              </w:rPr>
              <w:sym w:font="Wingdings" w:char="F0FC"/>
            </w:r>
          </w:p>
        </w:tc>
        <w:tc>
          <w:tcPr>
            <w:tcW w:w="472" w:type="dxa"/>
            <w:gridSpan w:val="2"/>
          </w:tcPr>
          <w:p w:rsidR="000F1D82" w:rsidRPr="003B32B7" w:rsidRDefault="000F1D82" w:rsidP="00833690">
            <w:pPr>
              <w:rPr>
                <w:rFonts w:ascii="Arial" w:hAnsi="Arial" w:cs="Arial"/>
                <w:b/>
                <w:sz w:val="24"/>
                <w:szCs w:val="24"/>
              </w:rPr>
            </w:pPr>
          </w:p>
        </w:tc>
        <w:tc>
          <w:tcPr>
            <w:tcW w:w="472" w:type="dxa"/>
            <w:gridSpan w:val="2"/>
          </w:tcPr>
          <w:p w:rsidR="000F1D82" w:rsidRPr="003B32B7" w:rsidRDefault="000F1D82" w:rsidP="00833690">
            <w:pPr>
              <w:rPr>
                <w:rFonts w:ascii="Arial" w:hAnsi="Arial" w:cs="Arial"/>
                <w:b/>
                <w:sz w:val="24"/>
                <w:szCs w:val="24"/>
              </w:rPr>
            </w:pPr>
          </w:p>
        </w:tc>
        <w:tc>
          <w:tcPr>
            <w:tcW w:w="473" w:type="dxa"/>
          </w:tcPr>
          <w:p w:rsidR="000F1D82" w:rsidRPr="003B32B7" w:rsidRDefault="000F1D82" w:rsidP="00833690">
            <w:pPr>
              <w:rPr>
                <w:rFonts w:ascii="Arial" w:hAnsi="Arial" w:cs="Arial"/>
                <w:b/>
                <w:sz w:val="24"/>
                <w:szCs w:val="24"/>
              </w:rPr>
            </w:pPr>
          </w:p>
        </w:tc>
        <w:tc>
          <w:tcPr>
            <w:tcW w:w="992" w:type="dxa"/>
          </w:tcPr>
          <w:p w:rsidR="000F1D82" w:rsidRPr="00206F71" w:rsidRDefault="000F1D82" w:rsidP="00833690">
            <w:pPr>
              <w:rPr>
                <w:rFonts w:ascii="Arial" w:hAnsi="Arial" w:cs="Arial"/>
                <w:b/>
              </w:rPr>
            </w:pPr>
          </w:p>
        </w:tc>
      </w:tr>
      <w:tr w:rsidR="003F7DC1" w:rsidTr="00BE14BB">
        <w:tc>
          <w:tcPr>
            <w:tcW w:w="9180" w:type="dxa"/>
            <w:gridSpan w:val="10"/>
            <w:shd w:val="clear" w:color="auto" w:fill="D9D9D9" w:themeFill="background1" w:themeFillShade="D9"/>
          </w:tcPr>
          <w:p w:rsidR="003F7DC1" w:rsidRPr="003B32B7" w:rsidRDefault="003F7DC1" w:rsidP="00833690">
            <w:pPr>
              <w:rPr>
                <w:rFonts w:ascii="Arial" w:hAnsi="Arial" w:cs="Arial"/>
                <w:b/>
                <w:sz w:val="24"/>
                <w:szCs w:val="24"/>
              </w:rPr>
            </w:pPr>
            <w:r w:rsidRPr="003B32B7">
              <w:rPr>
                <w:rFonts w:ascii="Arial" w:hAnsi="Arial" w:cs="Arial"/>
                <w:b/>
                <w:sz w:val="24"/>
                <w:szCs w:val="24"/>
              </w:rPr>
              <w:t>Section 25B</w:t>
            </w:r>
          </w:p>
        </w:tc>
      </w:tr>
      <w:tr w:rsidR="000F1D82" w:rsidTr="000F1D82">
        <w:tc>
          <w:tcPr>
            <w:tcW w:w="5911" w:type="dxa"/>
          </w:tcPr>
          <w:p w:rsidR="000F1D82" w:rsidRPr="003F7DC1" w:rsidRDefault="000F1D82" w:rsidP="00833690">
            <w:pPr>
              <w:rPr>
                <w:rFonts w:ascii="Arial" w:hAnsi="Arial"/>
                <w:sz w:val="24"/>
                <w:szCs w:val="24"/>
              </w:rPr>
            </w:pPr>
            <w:r w:rsidRPr="003F7DC1">
              <w:rPr>
                <w:rFonts w:ascii="Arial" w:hAnsi="Arial"/>
                <w:sz w:val="24"/>
                <w:szCs w:val="24"/>
              </w:rPr>
              <w:t>Designated person</w:t>
            </w:r>
          </w:p>
          <w:p w:rsidR="000F1D82" w:rsidRPr="003F7DC1" w:rsidRDefault="000F1D82" w:rsidP="00833690">
            <w:pPr>
              <w:rPr>
                <w:sz w:val="24"/>
                <w:szCs w:val="24"/>
              </w:rPr>
            </w:pPr>
          </w:p>
        </w:tc>
        <w:tc>
          <w:tcPr>
            <w:tcW w:w="434" w:type="dxa"/>
            <w:gridSpan w:val="2"/>
          </w:tcPr>
          <w:p w:rsidR="000F1D82" w:rsidRPr="003B32B7" w:rsidRDefault="000F1D82" w:rsidP="00833690">
            <w:pPr>
              <w:rPr>
                <w:rFonts w:ascii="Arial" w:hAnsi="Arial" w:cs="Arial"/>
                <w:b/>
                <w:sz w:val="24"/>
                <w:szCs w:val="24"/>
              </w:rPr>
            </w:pPr>
          </w:p>
        </w:tc>
        <w:tc>
          <w:tcPr>
            <w:tcW w:w="426" w:type="dxa"/>
          </w:tcPr>
          <w:p w:rsidR="000F1D82" w:rsidRPr="003B32B7" w:rsidRDefault="003B32B7" w:rsidP="00833690">
            <w:pPr>
              <w:rPr>
                <w:rFonts w:ascii="Arial" w:hAnsi="Arial" w:cs="Arial"/>
                <w:b/>
                <w:sz w:val="24"/>
                <w:szCs w:val="24"/>
              </w:rPr>
            </w:pPr>
            <w:r w:rsidRPr="003B32B7">
              <w:rPr>
                <w:rFonts w:ascii="Arial" w:hAnsi="Arial" w:cs="Arial"/>
                <w:b/>
                <w:sz w:val="24"/>
                <w:szCs w:val="24"/>
              </w:rPr>
              <w:sym w:font="Wingdings" w:char="F0FC"/>
            </w:r>
          </w:p>
        </w:tc>
        <w:tc>
          <w:tcPr>
            <w:tcW w:w="425" w:type="dxa"/>
          </w:tcPr>
          <w:p w:rsidR="000F1D82" w:rsidRPr="003B32B7" w:rsidRDefault="000F1D82" w:rsidP="00833690">
            <w:pPr>
              <w:rPr>
                <w:rFonts w:ascii="Arial" w:hAnsi="Arial" w:cs="Arial"/>
                <w:b/>
                <w:sz w:val="24"/>
                <w:szCs w:val="24"/>
              </w:rPr>
            </w:pPr>
          </w:p>
        </w:tc>
        <w:tc>
          <w:tcPr>
            <w:tcW w:w="481" w:type="dxa"/>
            <w:gridSpan w:val="2"/>
          </w:tcPr>
          <w:p w:rsidR="000F1D82" w:rsidRPr="003B32B7" w:rsidRDefault="000F1D82" w:rsidP="00833690">
            <w:pPr>
              <w:rPr>
                <w:rFonts w:ascii="Arial" w:hAnsi="Arial" w:cs="Arial"/>
                <w:b/>
                <w:sz w:val="24"/>
                <w:szCs w:val="24"/>
              </w:rPr>
            </w:pPr>
          </w:p>
        </w:tc>
        <w:tc>
          <w:tcPr>
            <w:tcW w:w="511" w:type="dxa"/>
            <w:gridSpan w:val="2"/>
          </w:tcPr>
          <w:p w:rsidR="000F1D82" w:rsidRPr="003B32B7" w:rsidRDefault="000F1D82" w:rsidP="00833690">
            <w:pPr>
              <w:rPr>
                <w:rFonts w:ascii="Arial" w:hAnsi="Arial" w:cs="Arial"/>
                <w:b/>
                <w:sz w:val="24"/>
                <w:szCs w:val="24"/>
              </w:rPr>
            </w:pPr>
          </w:p>
        </w:tc>
        <w:tc>
          <w:tcPr>
            <w:tcW w:w="992" w:type="dxa"/>
          </w:tcPr>
          <w:p w:rsidR="000F1D82" w:rsidRDefault="000F1D82" w:rsidP="00833690"/>
        </w:tc>
      </w:tr>
      <w:tr w:rsidR="000F1D82" w:rsidTr="000F1D82">
        <w:trPr>
          <w:trHeight w:val="642"/>
        </w:trPr>
        <w:tc>
          <w:tcPr>
            <w:tcW w:w="5911" w:type="dxa"/>
          </w:tcPr>
          <w:p w:rsidR="000F1D82" w:rsidRPr="003F7DC1" w:rsidRDefault="000F1D82" w:rsidP="00833690">
            <w:pPr>
              <w:rPr>
                <w:rFonts w:ascii="Arial" w:hAnsi="Arial"/>
                <w:sz w:val="24"/>
                <w:szCs w:val="24"/>
              </w:rPr>
            </w:pPr>
            <w:r w:rsidRPr="003F7DC1">
              <w:rPr>
                <w:rFonts w:ascii="Arial" w:hAnsi="Arial"/>
                <w:sz w:val="24"/>
                <w:szCs w:val="24"/>
              </w:rPr>
              <w:t xml:space="preserve">Reasonable </w:t>
            </w:r>
          </w:p>
          <w:p w:rsidR="000F1D82" w:rsidRPr="003F7DC1" w:rsidRDefault="000F1D82" w:rsidP="00833690">
            <w:pPr>
              <w:rPr>
                <w:rFonts w:ascii="Arial" w:hAnsi="Arial"/>
                <w:sz w:val="24"/>
                <w:szCs w:val="24"/>
              </w:rPr>
            </w:pPr>
            <w:r w:rsidRPr="003F7DC1">
              <w:rPr>
                <w:rFonts w:ascii="Arial" w:hAnsi="Arial"/>
                <w:sz w:val="24"/>
                <w:szCs w:val="24"/>
              </w:rPr>
              <w:t>Requirements</w:t>
            </w:r>
          </w:p>
        </w:tc>
        <w:tc>
          <w:tcPr>
            <w:tcW w:w="434" w:type="dxa"/>
            <w:gridSpan w:val="2"/>
          </w:tcPr>
          <w:p w:rsidR="000F1D82" w:rsidRPr="003B32B7" w:rsidRDefault="000F1D82" w:rsidP="00833690">
            <w:pPr>
              <w:rPr>
                <w:rFonts w:ascii="Arial" w:hAnsi="Arial" w:cs="Arial"/>
                <w:b/>
                <w:sz w:val="24"/>
                <w:szCs w:val="24"/>
              </w:rPr>
            </w:pPr>
          </w:p>
        </w:tc>
        <w:tc>
          <w:tcPr>
            <w:tcW w:w="426" w:type="dxa"/>
          </w:tcPr>
          <w:p w:rsidR="000F1D82" w:rsidRPr="003B32B7" w:rsidRDefault="003B32B7" w:rsidP="00833690">
            <w:pPr>
              <w:rPr>
                <w:rFonts w:ascii="Arial" w:hAnsi="Arial" w:cs="Arial"/>
                <w:b/>
                <w:sz w:val="24"/>
                <w:szCs w:val="24"/>
              </w:rPr>
            </w:pPr>
            <w:r>
              <w:rPr>
                <w:rFonts w:ascii="Arial" w:hAnsi="Arial" w:cs="Arial"/>
                <w:b/>
                <w:sz w:val="24"/>
                <w:szCs w:val="24"/>
              </w:rPr>
              <w:sym w:font="Wingdings" w:char="F0FC"/>
            </w:r>
          </w:p>
        </w:tc>
        <w:tc>
          <w:tcPr>
            <w:tcW w:w="425" w:type="dxa"/>
          </w:tcPr>
          <w:p w:rsidR="000F1D82" w:rsidRPr="003B32B7" w:rsidRDefault="000F1D82" w:rsidP="00833690">
            <w:pPr>
              <w:rPr>
                <w:rFonts w:ascii="Arial" w:hAnsi="Arial" w:cs="Arial"/>
                <w:b/>
                <w:sz w:val="24"/>
                <w:szCs w:val="24"/>
              </w:rPr>
            </w:pPr>
          </w:p>
        </w:tc>
        <w:tc>
          <w:tcPr>
            <w:tcW w:w="481" w:type="dxa"/>
            <w:gridSpan w:val="2"/>
          </w:tcPr>
          <w:p w:rsidR="000F1D82" w:rsidRPr="003B32B7" w:rsidRDefault="000F1D82" w:rsidP="00833690">
            <w:pPr>
              <w:rPr>
                <w:rFonts w:ascii="Arial" w:hAnsi="Arial" w:cs="Arial"/>
                <w:b/>
                <w:sz w:val="24"/>
                <w:szCs w:val="24"/>
              </w:rPr>
            </w:pPr>
          </w:p>
        </w:tc>
        <w:tc>
          <w:tcPr>
            <w:tcW w:w="511" w:type="dxa"/>
            <w:gridSpan w:val="2"/>
          </w:tcPr>
          <w:p w:rsidR="000F1D82" w:rsidRPr="003B32B7" w:rsidRDefault="000F1D82" w:rsidP="00833690">
            <w:pPr>
              <w:rPr>
                <w:rFonts w:ascii="Arial" w:hAnsi="Arial" w:cs="Arial"/>
                <w:b/>
                <w:sz w:val="24"/>
                <w:szCs w:val="24"/>
              </w:rPr>
            </w:pPr>
          </w:p>
        </w:tc>
        <w:tc>
          <w:tcPr>
            <w:tcW w:w="992" w:type="dxa"/>
          </w:tcPr>
          <w:p w:rsidR="000F1D82" w:rsidRDefault="000F1D82" w:rsidP="00833690"/>
        </w:tc>
      </w:tr>
      <w:tr w:rsidR="000F1D82" w:rsidTr="000F1D82">
        <w:tc>
          <w:tcPr>
            <w:tcW w:w="5911" w:type="dxa"/>
          </w:tcPr>
          <w:p w:rsidR="000F1D82" w:rsidRPr="003F7DC1" w:rsidRDefault="000F1D82" w:rsidP="00833690">
            <w:pPr>
              <w:rPr>
                <w:rFonts w:ascii="Arial" w:hAnsi="Arial"/>
                <w:sz w:val="24"/>
                <w:szCs w:val="24"/>
              </w:rPr>
            </w:pPr>
            <w:r w:rsidRPr="003F7DC1">
              <w:rPr>
                <w:rFonts w:ascii="Arial" w:hAnsi="Arial"/>
                <w:sz w:val="24"/>
                <w:szCs w:val="24"/>
              </w:rPr>
              <w:t>Nurse staffing level</w:t>
            </w:r>
          </w:p>
          <w:p w:rsidR="000F1D82" w:rsidRPr="003F7DC1" w:rsidRDefault="000F1D82" w:rsidP="00833690">
            <w:pPr>
              <w:rPr>
                <w:sz w:val="24"/>
                <w:szCs w:val="24"/>
              </w:rPr>
            </w:pPr>
          </w:p>
        </w:tc>
        <w:tc>
          <w:tcPr>
            <w:tcW w:w="434" w:type="dxa"/>
            <w:gridSpan w:val="2"/>
          </w:tcPr>
          <w:p w:rsidR="000F1D82" w:rsidRPr="003B32B7" w:rsidRDefault="003B32B7" w:rsidP="00833690">
            <w:pPr>
              <w:rPr>
                <w:rFonts w:ascii="Arial" w:hAnsi="Arial" w:cs="Arial"/>
                <w:b/>
                <w:sz w:val="24"/>
                <w:szCs w:val="24"/>
              </w:rPr>
            </w:pPr>
            <w:r>
              <w:rPr>
                <w:rFonts w:ascii="Arial" w:hAnsi="Arial" w:cs="Arial"/>
                <w:b/>
                <w:sz w:val="24"/>
                <w:szCs w:val="24"/>
              </w:rPr>
              <w:sym w:font="Wingdings" w:char="F0FC"/>
            </w:r>
          </w:p>
        </w:tc>
        <w:tc>
          <w:tcPr>
            <w:tcW w:w="426" w:type="dxa"/>
          </w:tcPr>
          <w:p w:rsidR="000F1D82" w:rsidRPr="003B32B7" w:rsidRDefault="000F1D82" w:rsidP="00833690">
            <w:pPr>
              <w:rPr>
                <w:rFonts w:ascii="Arial" w:hAnsi="Arial" w:cs="Arial"/>
                <w:b/>
                <w:sz w:val="24"/>
                <w:szCs w:val="24"/>
              </w:rPr>
            </w:pPr>
          </w:p>
        </w:tc>
        <w:tc>
          <w:tcPr>
            <w:tcW w:w="425" w:type="dxa"/>
          </w:tcPr>
          <w:p w:rsidR="000F1D82" w:rsidRPr="003B32B7" w:rsidRDefault="000F1D82" w:rsidP="00833690">
            <w:pPr>
              <w:rPr>
                <w:rFonts w:ascii="Arial" w:hAnsi="Arial" w:cs="Arial"/>
                <w:b/>
                <w:sz w:val="24"/>
                <w:szCs w:val="24"/>
              </w:rPr>
            </w:pPr>
          </w:p>
        </w:tc>
        <w:tc>
          <w:tcPr>
            <w:tcW w:w="481" w:type="dxa"/>
            <w:gridSpan w:val="2"/>
          </w:tcPr>
          <w:p w:rsidR="000F1D82" w:rsidRPr="003B32B7" w:rsidRDefault="000F1D82" w:rsidP="00833690">
            <w:pPr>
              <w:rPr>
                <w:rFonts w:ascii="Arial" w:hAnsi="Arial" w:cs="Arial"/>
                <w:b/>
                <w:sz w:val="24"/>
                <w:szCs w:val="24"/>
              </w:rPr>
            </w:pPr>
          </w:p>
        </w:tc>
        <w:tc>
          <w:tcPr>
            <w:tcW w:w="511" w:type="dxa"/>
            <w:gridSpan w:val="2"/>
          </w:tcPr>
          <w:p w:rsidR="000F1D82" w:rsidRPr="003B32B7" w:rsidRDefault="000F1D82" w:rsidP="00833690">
            <w:pPr>
              <w:rPr>
                <w:rFonts w:ascii="Arial" w:hAnsi="Arial" w:cs="Arial"/>
                <w:b/>
                <w:sz w:val="24"/>
                <w:szCs w:val="24"/>
              </w:rPr>
            </w:pPr>
          </w:p>
        </w:tc>
        <w:tc>
          <w:tcPr>
            <w:tcW w:w="992" w:type="dxa"/>
          </w:tcPr>
          <w:p w:rsidR="000F1D82" w:rsidRDefault="000F1D82" w:rsidP="00833690"/>
        </w:tc>
      </w:tr>
      <w:tr w:rsidR="000F1D82" w:rsidTr="000F1D82">
        <w:tc>
          <w:tcPr>
            <w:tcW w:w="5911" w:type="dxa"/>
          </w:tcPr>
          <w:p w:rsidR="000F1D82" w:rsidRPr="003F7DC1" w:rsidRDefault="000F1D82" w:rsidP="00833690">
            <w:pPr>
              <w:rPr>
                <w:rFonts w:ascii="Arial" w:hAnsi="Arial"/>
                <w:sz w:val="24"/>
                <w:szCs w:val="24"/>
              </w:rPr>
            </w:pPr>
            <w:r w:rsidRPr="003F7DC1">
              <w:rPr>
                <w:rFonts w:ascii="Arial" w:hAnsi="Arial"/>
                <w:sz w:val="24"/>
                <w:szCs w:val="24"/>
              </w:rPr>
              <w:t>Reasonable steps</w:t>
            </w:r>
          </w:p>
          <w:p w:rsidR="000F1D82" w:rsidRPr="003F7DC1" w:rsidRDefault="000F1D82" w:rsidP="00833690">
            <w:pPr>
              <w:rPr>
                <w:sz w:val="24"/>
                <w:szCs w:val="24"/>
              </w:rPr>
            </w:pPr>
          </w:p>
        </w:tc>
        <w:tc>
          <w:tcPr>
            <w:tcW w:w="434" w:type="dxa"/>
            <w:gridSpan w:val="2"/>
          </w:tcPr>
          <w:p w:rsidR="000F1D82" w:rsidRPr="003B32B7" w:rsidRDefault="000F1D82" w:rsidP="00833690">
            <w:pPr>
              <w:rPr>
                <w:rFonts w:ascii="Arial" w:hAnsi="Arial" w:cs="Arial"/>
                <w:b/>
                <w:sz w:val="24"/>
                <w:szCs w:val="24"/>
              </w:rPr>
            </w:pPr>
          </w:p>
        </w:tc>
        <w:tc>
          <w:tcPr>
            <w:tcW w:w="426" w:type="dxa"/>
          </w:tcPr>
          <w:p w:rsidR="000F1D82" w:rsidRPr="003B32B7" w:rsidRDefault="000F1D82" w:rsidP="00833690">
            <w:pPr>
              <w:rPr>
                <w:rFonts w:ascii="Arial" w:hAnsi="Arial" w:cs="Arial"/>
                <w:b/>
                <w:sz w:val="24"/>
                <w:szCs w:val="24"/>
              </w:rPr>
            </w:pPr>
          </w:p>
        </w:tc>
        <w:tc>
          <w:tcPr>
            <w:tcW w:w="425" w:type="dxa"/>
          </w:tcPr>
          <w:p w:rsidR="000F1D82" w:rsidRPr="003B32B7" w:rsidRDefault="006A4BA5" w:rsidP="00833690">
            <w:pPr>
              <w:rPr>
                <w:rFonts w:ascii="Arial" w:hAnsi="Arial" w:cs="Arial"/>
                <w:b/>
                <w:sz w:val="24"/>
                <w:szCs w:val="24"/>
              </w:rPr>
            </w:pPr>
            <w:r>
              <w:rPr>
                <w:rFonts w:ascii="Arial" w:hAnsi="Arial" w:cs="Arial"/>
                <w:b/>
                <w:sz w:val="24"/>
                <w:szCs w:val="24"/>
              </w:rPr>
              <w:sym w:font="Wingdings" w:char="F0FC"/>
            </w:r>
          </w:p>
        </w:tc>
        <w:tc>
          <w:tcPr>
            <w:tcW w:w="481" w:type="dxa"/>
            <w:gridSpan w:val="2"/>
          </w:tcPr>
          <w:p w:rsidR="000F1D82" w:rsidRPr="003B32B7" w:rsidRDefault="000F1D82" w:rsidP="00833690">
            <w:pPr>
              <w:rPr>
                <w:rFonts w:ascii="Arial" w:hAnsi="Arial" w:cs="Arial"/>
                <w:b/>
                <w:sz w:val="24"/>
                <w:szCs w:val="24"/>
              </w:rPr>
            </w:pPr>
          </w:p>
        </w:tc>
        <w:tc>
          <w:tcPr>
            <w:tcW w:w="511" w:type="dxa"/>
            <w:gridSpan w:val="2"/>
          </w:tcPr>
          <w:p w:rsidR="000F1D82" w:rsidRPr="003B32B7" w:rsidRDefault="000F1D82" w:rsidP="00833690">
            <w:pPr>
              <w:rPr>
                <w:rFonts w:ascii="Arial" w:hAnsi="Arial" w:cs="Arial"/>
                <w:b/>
                <w:sz w:val="24"/>
                <w:szCs w:val="24"/>
              </w:rPr>
            </w:pPr>
          </w:p>
        </w:tc>
        <w:tc>
          <w:tcPr>
            <w:tcW w:w="992" w:type="dxa"/>
          </w:tcPr>
          <w:p w:rsidR="000F1D82" w:rsidRDefault="000F1D82" w:rsidP="00833690"/>
        </w:tc>
      </w:tr>
      <w:tr w:rsidR="006A4BA5" w:rsidTr="000F1D82">
        <w:tc>
          <w:tcPr>
            <w:tcW w:w="5911" w:type="dxa"/>
          </w:tcPr>
          <w:p w:rsidR="006A4BA5" w:rsidRPr="003F7DC1" w:rsidRDefault="006A4BA5" w:rsidP="006A4BA5">
            <w:pPr>
              <w:rPr>
                <w:rFonts w:ascii="Arial" w:hAnsi="Arial"/>
                <w:sz w:val="24"/>
                <w:szCs w:val="24"/>
              </w:rPr>
            </w:pPr>
            <w:r w:rsidRPr="003F7DC1">
              <w:rPr>
                <w:rFonts w:ascii="Arial" w:hAnsi="Arial"/>
                <w:sz w:val="24"/>
                <w:szCs w:val="24"/>
              </w:rPr>
              <w:t>Informing patients</w:t>
            </w:r>
          </w:p>
          <w:p w:rsidR="006A4BA5" w:rsidRPr="003F7DC1" w:rsidRDefault="006A4BA5" w:rsidP="006A4BA5">
            <w:pPr>
              <w:rPr>
                <w:sz w:val="24"/>
                <w:szCs w:val="24"/>
              </w:rPr>
            </w:pPr>
          </w:p>
        </w:tc>
        <w:tc>
          <w:tcPr>
            <w:tcW w:w="434" w:type="dxa"/>
            <w:gridSpan w:val="2"/>
          </w:tcPr>
          <w:p w:rsidR="006A4BA5" w:rsidRPr="003B32B7" w:rsidRDefault="006A4BA5" w:rsidP="006A4BA5">
            <w:pPr>
              <w:rPr>
                <w:rFonts w:ascii="Arial" w:hAnsi="Arial" w:cs="Arial"/>
                <w:b/>
                <w:sz w:val="24"/>
                <w:szCs w:val="24"/>
              </w:rPr>
            </w:pPr>
          </w:p>
        </w:tc>
        <w:tc>
          <w:tcPr>
            <w:tcW w:w="426" w:type="dxa"/>
          </w:tcPr>
          <w:p w:rsidR="006A4BA5" w:rsidRPr="003B32B7" w:rsidRDefault="006A4BA5" w:rsidP="006A4BA5">
            <w:pPr>
              <w:rPr>
                <w:rFonts w:ascii="Arial" w:hAnsi="Arial" w:cs="Arial"/>
                <w:b/>
                <w:sz w:val="24"/>
                <w:szCs w:val="24"/>
              </w:rPr>
            </w:pPr>
            <w:r>
              <w:rPr>
                <w:rFonts w:ascii="Arial" w:hAnsi="Arial" w:cs="Arial"/>
                <w:b/>
                <w:sz w:val="24"/>
                <w:szCs w:val="24"/>
              </w:rPr>
              <w:sym w:font="Wingdings" w:char="F0FC"/>
            </w:r>
          </w:p>
        </w:tc>
        <w:tc>
          <w:tcPr>
            <w:tcW w:w="425" w:type="dxa"/>
          </w:tcPr>
          <w:p w:rsidR="006A4BA5" w:rsidRPr="003B32B7" w:rsidRDefault="006A4BA5" w:rsidP="006A4BA5">
            <w:pPr>
              <w:rPr>
                <w:rFonts w:ascii="Arial" w:hAnsi="Arial" w:cs="Arial"/>
                <w:b/>
                <w:sz w:val="24"/>
                <w:szCs w:val="24"/>
              </w:rPr>
            </w:pPr>
          </w:p>
        </w:tc>
        <w:tc>
          <w:tcPr>
            <w:tcW w:w="481" w:type="dxa"/>
            <w:gridSpan w:val="2"/>
          </w:tcPr>
          <w:p w:rsidR="006A4BA5" w:rsidRPr="003B32B7" w:rsidRDefault="006A4BA5" w:rsidP="006A4BA5">
            <w:pPr>
              <w:rPr>
                <w:rFonts w:ascii="Arial" w:hAnsi="Arial" w:cs="Arial"/>
                <w:b/>
                <w:sz w:val="24"/>
                <w:szCs w:val="24"/>
              </w:rPr>
            </w:pPr>
          </w:p>
        </w:tc>
        <w:tc>
          <w:tcPr>
            <w:tcW w:w="511" w:type="dxa"/>
            <w:gridSpan w:val="2"/>
          </w:tcPr>
          <w:p w:rsidR="006A4BA5" w:rsidRPr="003B32B7" w:rsidRDefault="006A4BA5" w:rsidP="006A4BA5">
            <w:pPr>
              <w:rPr>
                <w:rFonts w:ascii="Arial" w:hAnsi="Arial" w:cs="Arial"/>
                <w:b/>
                <w:sz w:val="24"/>
                <w:szCs w:val="24"/>
              </w:rPr>
            </w:pPr>
          </w:p>
        </w:tc>
        <w:tc>
          <w:tcPr>
            <w:tcW w:w="992" w:type="dxa"/>
          </w:tcPr>
          <w:p w:rsidR="006A4BA5" w:rsidRDefault="006A4BA5" w:rsidP="006A4BA5"/>
        </w:tc>
      </w:tr>
      <w:tr w:rsidR="006A4BA5" w:rsidTr="000F1D82">
        <w:tc>
          <w:tcPr>
            <w:tcW w:w="5911" w:type="dxa"/>
          </w:tcPr>
          <w:p w:rsidR="006A4BA5" w:rsidRPr="003F7DC1" w:rsidRDefault="006A4BA5" w:rsidP="006A4BA5">
            <w:pPr>
              <w:rPr>
                <w:rFonts w:ascii="Arial" w:hAnsi="Arial" w:cs="Arial"/>
                <w:sz w:val="24"/>
                <w:szCs w:val="24"/>
              </w:rPr>
            </w:pPr>
            <w:r w:rsidRPr="003F7DC1">
              <w:rPr>
                <w:rFonts w:ascii="Arial" w:hAnsi="Arial" w:cs="Arial"/>
                <w:sz w:val="24"/>
                <w:szCs w:val="24"/>
              </w:rPr>
              <w:t>Situations where section 25B applies</w:t>
            </w:r>
          </w:p>
          <w:p w:rsidR="006A4BA5" w:rsidRPr="003F7DC1" w:rsidRDefault="006A4BA5" w:rsidP="006A4BA5">
            <w:pPr>
              <w:rPr>
                <w:sz w:val="24"/>
                <w:szCs w:val="24"/>
              </w:rPr>
            </w:pPr>
          </w:p>
        </w:tc>
        <w:tc>
          <w:tcPr>
            <w:tcW w:w="434" w:type="dxa"/>
            <w:gridSpan w:val="2"/>
          </w:tcPr>
          <w:p w:rsidR="006A4BA5" w:rsidRPr="003B32B7" w:rsidRDefault="006A4BA5" w:rsidP="006A4BA5">
            <w:pPr>
              <w:rPr>
                <w:rFonts w:ascii="Arial" w:hAnsi="Arial" w:cs="Arial"/>
                <w:b/>
                <w:sz w:val="24"/>
                <w:szCs w:val="24"/>
              </w:rPr>
            </w:pPr>
          </w:p>
        </w:tc>
        <w:tc>
          <w:tcPr>
            <w:tcW w:w="426" w:type="dxa"/>
          </w:tcPr>
          <w:p w:rsidR="006A4BA5" w:rsidRPr="003B32B7" w:rsidRDefault="006A4BA5" w:rsidP="006A4BA5">
            <w:pPr>
              <w:rPr>
                <w:rFonts w:ascii="Arial" w:hAnsi="Arial" w:cs="Arial"/>
                <w:b/>
                <w:sz w:val="24"/>
                <w:szCs w:val="24"/>
              </w:rPr>
            </w:pPr>
          </w:p>
        </w:tc>
        <w:tc>
          <w:tcPr>
            <w:tcW w:w="425" w:type="dxa"/>
          </w:tcPr>
          <w:p w:rsidR="006A4BA5" w:rsidRPr="003B32B7" w:rsidRDefault="006A4BA5" w:rsidP="006A4BA5">
            <w:pPr>
              <w:rPr>
                <w:rFonts w:ascii="Arial" w:hAnsi="Arial" w:cs="Arial"/>
                <w:b/>
                <w:sz w:val="24"/>
                <w:szCs w:val="24"/>
              </w:rPr>
            </w:pPr>
            <w:r>
              <w:rPr>
                <w:rFonts w:ascii="Arial" w:hAnsi="Arial" w:cs="Arial"/>
                <w:b/>
                <w:sz w:val="24"/>
                <w:szCs w:val="24"/>
              </w:rPr>
              <w:sym w:font="Wingdings" w:char="F0FC"/>
            </w:r>
          </w:p>
        </w:tc>
        <w:tc>
          <w:tcPr>
            <w:tcW w:w="481" w:type="dxa"/>
            <w:gridSpan w:val="2"/>
          </w:tcPr>
          <w:p w:rsidR="006A4BA5" w:rsidRPr="003B32B7" w:rsidRDefault="006A4BA5" w:rsidP="006A4BA5">
            <w:pPr>
              <w:rPr>
                <w:rFonts w:ascii="Arial" w:hAnsi="Arial" w:cs="Arial"/>
                <w:b/>
                <w:sz w:val="24"/>
                <w:szCs w:val="24"/>
              </w:rPr>
            </w:pPr>
          </w:p>
        </w:tc>
        <w:tc>
          <w:tcPr>
            <w:tcW w:w="511" w:type="dxa"/>
            <w:gridSpan w:val="2"/>
          </w:tcPr>
          <w:p w:rsidR="006A4BA5" w:rsidRPr="003B32B7" w:rsidRDefault="006A4BA5" w:rsidP="006A4BA5">
            <w:pPr>
              <w:rPr>
                <w:rFonts w:ascii="Arial" w:hAnsi="Arial" w:cs="Arial"/>
                <w:b/>
                <w:sz w:val="24"/>
                <w:szCs w:val="24"/>
              </w:rPr>
            </w:pPr>
          </w:p>
        </w:tc>
        <w:tc>
          <w:tcPr>
            <w:tcW w:w="992" w:type="dxa"/>
          </w:tcPr>
          <w:p w:rsidR="006A4BA5" w:rsidRDefault="006A4BA5" w:rsidP="006A4BA5"/>
        </w:tc>
      </w:tr>
    </w:tbl>
    <w:p w:rsidR="000F1D82" w:rsidRDefault="000F1D82" w:rsidP="007D7D82">
      <w:pPr>
        <w:rPr>
          <w:rFonts w:ascii="Arial" w:hAnsi="Arial"/>
          <w:b/>
        </w:rPr>
      </w:pPr>
    </w:p>
    <w:tbl>
      <w:tblPr>
        <w:tblStyle w:val="TableGrid"/>
        <w:tblW w:w="0" w:type="auto"/>
        <w:tblInd w:w="0" w:type="dxa"/>
        <w:tblLook w:val="04A0" w:firstRow="1" w:lastRow="0" w:firstColumn="1" w:lastColumn="0" w:noHBand="0" w:noVBand="1"/>
      </w:tblPr>
      <w:tblGrid>
        <w:gridCol w:w="2802"/>
        <w:gridCol w:w="6440"/>
      </w:tblGrid>
      <w:tr w:rsidR="003F7DC1" w:rsidTr="00833690">
        <w:tc>
          <w:tcPr>
            <w:tcW w:w="9242" w:type="dxa"/>
            <w:gridSpan w:val="2"/>
            <w:shd w:val="clear" w:color="auto" w:fill="A6A6A6" w:themeFill="background1" w:themeFillShade="A6"/>
          </w:tcPr>
          <w:p w:rsidR="003F7DC1" w:rsidRPr="003F7DC1" w:rsidRDefault="004F3ADF" w:rsidP="004F3ADF">
            <w:pPr>
              <w:pStyle w:val="ListParagraph"/>
              <w:numPr>
                <w:ilvl w:val="0"/>
                <w:numId w:val="13"/>
              </w:numPr>
              <w:rPr>
                <w:sz w:val="24"/>
                <w:szCs w:val="24"/>
              </w:rPr>
            </w:pPr>
            <w:r w:rsidRPr="005E5DD8">
              <w:rPr>
                <w:rFonts w:ascii="Arial" w:hAnsi="Arial" w:cs="Arial"/>
                <w:b/>
                <w:sz w:val="24"/>
                <w:szCs w:val="24"/>
              </w:rPr>
              <w:t xml:space="preserve">If </w:t>
            </w:r>
            <w:r w:rsidRPr="00BE14BB">
              <w:rPr>
                <w:rFonts w:ascii="Arial" w:hAnsi="Arial" w:cs="Arial"/>
                <w:b/>
                <w:sz w:val="24"/>
                <w:szCs w:val="24"/>
              </w:rPr>
              <w:t>you feel part of the guidance could be improved</w:t>
            </w:r>
            <w:r>
              <w:rPr>
                <w:rFonts w:ascii="Arial" w:hAnsi="Arial" w:cs="Arial"/>
                <w:b/>
                <w:sz w:val="24"/>
                <w:szCs w:val="24"/>
              </w:rPr>
              <w:t>,</w:t>
            </w:r>
            <w:r w:rsidRPr="00BE14BB">
              <w:rPr>
                <w:rFonts w:ascii="Arial" w:hAnsi="Arial" w:cs="Arial"/>
                <w:b/>
                <w:sz w:val="24"/>
                <w:szCs w:val="24"/>
              </w:rPr>
              <w:t xml:space="preserve"> please tell us about it below. You may wish to consider whether anything could be added or removed from the guidance, or whether wording could be changed to improve clarity.</w:t>
            </w:r>
          </w:p>
        </w:tc>
      </w:tr>
      <w:tr w:rsidR="003F7DC1" w:rsidTr="003F7DC1">
        <w:tc>
          <w:tcPr>
            <w:tcW w:w="2802" w:type="dxa"/>
            <w:shd w:val="clear" w:color="auto" w:fill="D9D9D9" w:themeFill="background1" w:themeFillShade="D9"/>
          </w:tcPr>
          <w:p w:rsidR="003F7DC1" w:rsidRPr="003F7DC1" w:rsidRDefault="003F7DC1" w:rsidP="00833690">
            <w:pPr>
              <w:rPr>
                <w:rFonts w:ascii="Arial" w:hAnsi="Arial" w:cs="Arial"/>
                <w:b/>
                <w:sz w:val="24"/>
                <w:szCs w:val="24"/>
              </w:rPr>
            </w:pPr>
            <w:r w:rsidRPr="003F7DC1">
              <w:rPr>
                <w:rFonts w:ascii="Arial" w:hAnsi="Arial" w:cs="Arial"/>
                <w:b/>
                <w:sz w:val="24"/>
                <w:szCs w:val="24"/>
              </w:rPr>
              <w:t>Part</w:t>
            </w:r>
          </w:p>
        </w:tc>
        <w:tc>
          <w:tcPr>
            <w:tcW w:w="6440" w:type="dxa"/>
            <w:shd w:val="clear" w:color="auto" w:fill="D9D9D9" w:themeFill="background1" w:themeFillShade="D9"/>
          </w:tcPr>
          <w:p w:rsidR="003F7DC1" w:rsidRPr="003F7DC1" w:rsidRDefault="003F7DC1" w:rsidP="00833690">
            <w:pPr>
              <w:rPr>
                <w:rFonts w:ascii="Arial" w:hAnsi="Arial" w:cs="Arial"/>
                <w:b/>
                <w:sz w:val="24"/>
                <w:szCs w:val="24"/>
              </w:rPr>
            </w:pPr>
            <w:r w:rsidRPr="003F7DC1">
              <w:rPr>
                <w:rFonts w:ascii="Arial" w:hAnsi="Arial" w:cs="Arial"/>
                <w:b/>
                <w:sz w:val="24"/>
                <w:szCs w:val="24"/>
              </w:rPr>
              <w:t>Improvement</w:t>
            </w:r>
          </w:p>
        </w:tc>
      </w:tr>
      <w:tr w:rsidR="003F7DC1" w:rsidTr="003F7DC1">
        <w:tc>
          <w:tcPr>
            <w:tcW w:w="2802" w:type="dxa"/>
          </w:tcPr>
          <w:p w:rsidR="000F1D82" w:rsidRPr="003F7DC1" w:rsidRDefault="000F1D82" w:rsidP="000F1D82">
            <w:pPr>
              <w:rPr>
                <w:rFonts w:ascii="Arial" w:hAnsi="Arial" w:cs="Arial"/>
                <w:sz w:val="24"/>
                <w:szCs w:val="24"/>
              </w:rPr>
            </w:pPr>
            <w:r w:rsidRPr="003F7DC1">
              <w:rPr>
                <w:rFonts w:ascii="Arial" w:hAnsi="Arial" w:cs="Arial"/>
                <w:sz w:val="24"/>
                <w:szCs w:val="24"/>
              </w:rPr>
              <w:t>Overall approach</w:t>
            </w:r>
          </w:p>
          <w:p w:rsidR="003F7DC1" w:rsidRDefault="003F7DC1" w:rsidP="00833690"/>
        </w:tc>
        <w:tc>
          <w:tcPr>
            <w:tcW w:w="6440" w:type="dxa"/>
          </w:tcPr>
          <w:p w:rsidR="005F3701" w:rsidRDefault="003B32B7" w:rsidP="003B32B7">
            <w:pPr>
              <w:rPr>
                <w:rFonts w:ascii="Arial" w:hAnsi="Arial" w:cs="Arial"/>
                <w:sz w:val="24"/>
                <w:szCs w:val="24"/>
              </w:rPr>
            </w:pPr>
            <w:r>
              <w:rPr>
                <w:rFonts w:ascii="Arial" w:hAnsi="Arial" w:cs="Arial"/>
                <w:sz w:val="24"/>
                <w:szCs w:val="24"/>
              </w:rPr>
              <w:t>The Royal College of Nursing Wales has serious concer</w:t>
            </w:r>
            <w:r w:rsidR="005F0809">
              <w:rPr>
                <w:rFonts w:ascii="Arial" w:hAnsi="Arial" w:cs="Arial"/>
                <w:sz w:val="24"/>
                <w:szCs w:val="24"/>
              </w:rPr>
              <w:t xml:space="preserve">ns regarding the draft guidance and cannot support the document in its current form. </w:t>
            </w:r>
            <w:r>
              <w:rPr>
                <w:rFonts w:ascii="Arial" w:hAnsi="Arial" w:cs="Arial"/>
                <w:sz w:val="24"/>
                <w:szCs w:val="24"/>
              </w:rPr>
              <w:t xml:space="preserve"> </w:t>
            </w:r>
            <w:r w:rsidR="005F0809" w:rsidRPr="005F0809">
              <w:rPr>
                <w:rFonts w:ascii="Arial" w:hAnsi="Arial" w:cs="Arial"/>
                <w:sz w:val="24"/>
                <w:szCs w:val="24"/>
              </w:rPr>
              <w:t>The intention of the Act was to improve patient safety and car</w:t>
            </w:r>
            <w:r w:rsidR="005F0809">
              <w:rPr>
                <w:rFonts w:ascii="Arial" w:hAnsi="Arial" w:cs="Arial"/>
                <w:sz w:val="24"/>
                <w:szCs w:val="24"/>
              </w:rPr>
              <w:t>e</w:t>
            </w:r>
            <w:r w:rsidR="005F3701">
              <w:rPr>
                <w:rFonts w:ascii="Arial" w:hAnsi="Arial" w:cs="Arial"/>
                <w:sz w:val="24"/>
                <w:szCs w:val="24"/>
              </w:rPr>
              <w:t xml:space="preserve"> provided to patients during care administered by Registered Nurses and Support staff. </w:t>
            </w:r>
            <w:r w:rsidR="005F0809">
              <w:rPr>
                <w:rFonts w:ascii="Arial" w:hAnsi="Arial" w:cs="Arial"/>
                <w:sz w:val="24"/>
                <w:szCs w:val="24"/>
              </w:rPr>
              <w:t xml:space="preserve"> We know from research that </w:t>
            </w:r>
            <w:r w:rsidR="005F0809" w:rsidRPr="005F0809">
              <w:rPr>
                <w:rFonts w:ascii="Arial" w:hAnsi="Arial" w:cs="Arial"/>
                <w:sz w:val="24"/>
                <w:szCs w:val="24"/>
              </w:rPr>
              <w:t xml:space="preserve">patient mortality rates </w:t>
            </w:r>
            <w:r w:rsidR="005F3701">
              <w:rPr>
                <w:rFonts w:ascii="Arial" w:hAnsi="Arial" w:cs="Arial"/>
                <w:sz w:val="24"/>
                <w:szCs w:val="24"/>
              </w:rPr>
              <w:t xml:space="preserve">are significantly higher with low registered nurse staffing levels </w:t>
            </w:r>
            <w:r w:rsidR="005F0809" w:rsidRPr="005F0809">
              <w:rPr>
                <w:rFonts w:ascii="Arial" w:hAnsi="Arial" w:cs="Arial"/>
                <w:sz w:val="24"/>
                <w:szCs w:val="24"/>
              </w:rPr>
              <w:t xml:space="preserve">and all other outcomes </w:t>
            </w:r>
            <w:r w:rsidR="005F3701">
              <w:rPr>
                <w:rFonts w:ascii="Arial" w:hAnsi="Arial" w:cs="Arial"/>
                <w:sz w:val="24"/>
                <w:szCs w:val="24"/>
              </w:rPr>
              <w:t xml:space="preserve">for patients </w:t>
            </w:r>
            <w:r w:rsidR="005F0809" w:rsidRPr="005F0809">
              <w:rPr>
                <w:rFonts w:ascii="Arial" w:hAnsi="Arial" w:cs="Arial"/>
                <w:sz w:val="24"/>
                <w:szCs w:val="24"/>
              </w:rPr>
              <w:t xml:space="preserve">are </w:t>
            </w:r>
            <w:r w:rsidR="005F3701">
              <w:rPr>
                <w:rFonts w:ascii="Arial" w:hAnsi="Arial" w:cs="Arial"/>
                <w:sz w:val="24"/>
                <w:szCs w:val="24"/>
              </w:rPr>
              <w:t xml:space="preserve">also </w:t>
            </w:r>
            <w:r w:rsidR="005F0809" w:rsidRPr="005F0809">
              <w:rPr>
                <w:rFonts w:ascii="Arial" w:hAnsi="Arial" w:cs="Arial"/>
                <w:sz w:val="24"/>
                <w:szCs w:val="24"/>
              </w:rPr>
              <w:t xml:space="preserve">significantly </w:t>
            </w:r>
            <w:r w:rsidR="005F3701">
              <w:rPr>
                <w:rFonts w:ascii="Arial" w:hAnsi="Arial" w:cs="Arial"/>
                <w:sz w:val="24"/>
                <w:szCs w:val="24"/>
              </w:rPr>
              <w:t xml:space="preserve">lower </w:t>
            </w:r>
            <w:r w:rsidR="005F0809" w:rsidRPr="005F0809">
              <w:rPr>
                <w:rFonts w:ascii="Arial" w:hAnsi="Arial" w:cs="Arial"/>
                <w:sz w:val="24"/>
                <w:szCs w:val="24"/>
              </w:rPr>
              <w:t xml:space="preserve">with low nurse staffing levels. </w:t>
            </w:r>
          </w:p>
          <w:p w:rsidR="005F0809" w:rsidRDefault="005F0809" w:rsidP="003B32B7">
            <w:pPr>
              <w:rPr>
                <w:rFonts w:ascii="Arial" w:hAnsi="Arial" w:cs="Arial"/>
                <w:sz w:val="24"/>
                <w:szCs w:val="24"/>
              </w:rPr>
            </w:pPr>
            <w:r w:rsidRPr="005F0809">
              <w:rPr>
                <w:rFonts w:ascii="Arial" w:hAnsi="Arial" w:cs="Arial"/>
                <w:sz w:val="24"/>
                <w:szCs w:val="24"/>
              </w:rPr>
              <w:t xml:space="preserve">Introducing statutory guidance that is weaker and </w:t>
            </w:r>
            <w:r w:rsidR="005F3701">
              <w:rPr>
                <w:rFonts w:ascii="Arial" w:hAnsi="Arial" w:cs="Arial"/>
                <w:sz w:val="24"/>
                <w:szCs w:val="24"/>
              </w:rPr>
              <w:t xml:space="preserve">extremely </w:t>
            </w:r>
            <w:r w:rsidRPr="005F0809">
              <w:rPr>
                <w:rFonts w:ascii="Arial" w:hAnsi="Arial" w:cs="Arial"/>
                <w:sz w:val="24"/>
                <w:szCs w:val="24"/>
              </w:rPr>
              <w:t>vague</w:t>
            </w:r>
            <w:r w:rsidR="005F3701">
              <w:rPr>
                <w:rFonts w:ascii="Arial" w:hAnsi="Arial" w:cs="Arial"/>
                <w:sz w:val="24"/>
                <w:szCs w:val="24"/>
              </w:rPr>
              <w:t xml:space="preserve"> and also less </w:t>
            </w:r>
            <w:r w:rsidRPr="005F0809">
              <w:rPr>
                <w:rFonts w:ascii="Arial" w:hAnsi="Arial" w:cs="Arial"/>
                <w:sz w:val="24"/>
                <w:szCs w:val="24"/>
              </w:rPr>
              <w:t>than the current non-statutory guidance will result in poorer care for patients and a likely increase in patient mortality</w:t>
            </w:r>
            <w:r w:rsidR="005F3701">
              <w:rPr>
                <w:rFonts w:ascii="Arial" w:hAnsi="Arial" w:cs="Arial"/>
                <w:sz w:val="24"/>
                <w:szCs w:val="24"/>
              </w:rPr>
              <w:t xml:space="preserve"> and morbidity</w:t>
            </w:r>
            <w:r w:rsidRPr="005F0809">
              <w:rPr>
                <w:rFonts w:ascii="Arial" w:hAnsi="Arial" w:cs="Arial"/>
                <w:sz w:val="24"/>
                <w:szCs w:val="24"/>
              </w:rPr>
              <w:t xml:space="preserve">.   </w:t>
            </w:r>
          </w:p>
          <w:p w:rsidR="005F0809" w:rsidRDefault="005F0809" w:rsidP="003B32B7">
            <w:pPr>
              <w:rPr>
                <w:rFonts w:ascii="Arial" w:hAnsi="Arial" w:cs="Arial"/>
                <w:sz w:val="24"/>
                <w:szCs w:val="24"/>
              </w:rPr>
            </w:pPr>
          </w:p>
          <w:p w:rsidR="003B32B7" w:rsidRDefault="003B32B7" w:rsidP="003B32B7">
            <w:pPr>
              <w:rPr>
                <w:rFonts w:ascii="Arial" w:hAnsi="Arial" w:cs="Arial"/>
                <w:sz w:val="24"/>
                <w:szCs w:val="24"/>
              </w:rPr>
            </w:pPr>
            <w:r>
              <w:rPr>
                <w:rFonts w:ascii="Arial" w:hAnsi="Arial" w:cs="Arial"/>
                <w:sz w:val="24"/>
                <w:szCs w:val="24"/>
              </w:rPr>
              <w:t xml:space="preserve">We have </w:t>
            </w:r>
            <w:r w:rsidR="005F3701">
              <w:rPr>
                <w:rFonts w:ascii="Arial" w:hAnsi="Arial" w:cs="Arial"/>
                <w:sz w:val="24"/>
                <w:szCs w:val="24"/>
              </w:rPr>
              <w:t xml:space="preserve">consistently </w:t>
            </w:r>
            <w:r>
              <w:rPr>
                <w:rFonts w:ascii="Arial" w:hAnsi="Arial" w:cs="Arial"/>
                <w:sz w:val="24"/>
                <w:szCs w:val="24"/>
              </w:rPr>
              <w:t xml:space="preserve">maintained that the CNO’s Principles should be reflected explicitly in the guidance, </w:t>
            </w:r>
            <w:r w:rsidR="005F3701">
              <w:rPr>
                <w:rFonts w:ascii="Arial" w:hAnsi="Arial" w:cs="Arial"/>
                <w:sz w:val="24"/>
                <w:szCs w:val="24"/>
              </w:rPr>
              <w:t xml:space="preserve">and that this must </w:t>
            </w:r>
            <w:r>
              <w:rPr>
                <w:rFonts w:ascii="Arial" w:hAnsi="Arial" w:cs="Arial"/>
                <w:sz w:val="24"/>
                <w:szCs w:val="24"/>
              </w:rPr>
              <w:t>includ</w:t>
            </w:r>
            <w:r w:rsidR="005F3701">
              <w:rPr>
                <w:rFonts w:ascii="Arial" w:hAnsi="Arial" w:cs="Arial"/>
                <w:sz w:val="24"/>
                <w:szCs w:val="24"/>
              </w:rPr>
              <w:t xml:space="preserve">e </w:t>
            </w:r>
            <w:r>
              <w:rPr>
                <w:rFonts w:ascii="Arial" w:hAnsi="Arial" w:cs="Arial"/>
                <w:sz w:val="24"/>
                <w:szCs w:val="24"/>
              </w:rPr>
              <w:t xml:space="preserve">the principle that “the number of patients per Registered Nurse should not exceed 7 by day”. There is no reference to a 7:1 patient to nurse ratio in the draft guidance. </w:t>
            </w:r>
            <w:r w:rsidR="005F3701">
              <w:rPr>
                <w:rFonts w:ascii="Arial" w:hAnsi="Arial" w:cs="Arial"/>
                <w:sz w:val="24"/>
                <w:szCs w:val="24"/>
              </w:rPr>
              <w:t xml:space="preserve">  We do not accept that this will be too prescriptive and restrictive, and indeed because it is in guidance can over a period of time be subjected to review provided this is accepted as guidance and not excluded completely.</w:t>
            </w:r>
          </w:p>
          <w:p w:rsidR="005F3701" w:rsidRDefault="005F3701" w:rsidP="003B32B7">
            <w:pPr>
              <w:rPr>
                <w:rFonts w:ascii="Arial" w:hAnsi="Arial" w:cs="Arial"/>
                <w:sz w:val="24"/>
                <w:szCs w:val="24"/>
              </w:rPr>
            </w:pPr>
          </w:p>
          <w:p w:rsidR="005F3701" w:rsidRDefault="005F3701" w:rsidP="003B32B7">
            <w:pPr>
              <w:rPr>
                <w:rFonts w:ascii="Arial" w:hAnsi="Arial" w:cs="Arial"/>
                <w:sz w:val="24"/>
                <w:szCs w:val="24"/>
              </w:rPr>
            </w:pPr>
            <w:r>
              <w:rPr>
                <w:rFonts w:ascii="Arial" w:hAnsi="Arial" w:cs="Arial"/>
                <w:sz w:val="24"/>
                <w:szCs w:val="24"/>
              </w:rPr>
              <w:t xml:space="preserve">We also believe that when the CNO principles were issued there was a requirement for health boards to implement the principles,  the change in behaviour to this implementation we believe has been in a direct response </w:t>
            </w:r>
            <w:r>
              <w:rPr>
                <w:rFonts w:ascii="Arial" w:hAnsi="Arial" w:cs="Arial"/>
                <w:sz w:val="24"/>
                <w:szCs w:val="24"/>
              </w:rPr>
              <w:lastRenderedPageBreak/>
              <w:t>to the legislation and without it is simply relates to the act having no power in terms of protecting the principles.</w:t>
            </w:r>
          </w:p>
          <w:p w:rsidR="003B32B7" w:rsidRDefault="003B32B7" w:rsidP="003B32B7">
            <w:pPr>
              <w:rPr>
                <w:rFonts w:ascii="Arial" w:hAnsi="Arial" w:cs="Arial"/>
                <w:sz w:val="24"/>
                <w:szCs w:val="24"/>
              </w:rPr>
            </w:pPr>
          </w:p>
          <w:p w:rsidR="000B4FFB" w:rsidRDefault="003B32B7" w:rsidP="003B32B7">
            <w:pPr>
              <w:rPr>
                <w:rFonts w:ascii="Arial" w:hAnsi="Arial" w:cs="Arial"/>
                <w:sz w:val="24"/>
                <w:szCs w:val="24"/>
              </w:rPr>
            </w:pPr>
            <w:r>
              <w:rPr>
                <w:rFonts w:ascii="Arial" w:hAnsi="Arial" w:cs="Arial"/>
                <w:sz w:val="24"/>
                <w:szCs w:val="24"/>
              </w:rPr>
              <w:t>There is also no recognition of the supernumerary role of the Ward Sister</w:t>
            </w:r>
            <w:r w:rsidR="005F3701">
              <w:rPr>
                <w:rFonts w:ascii="Arial" w:hAnsi="Arial" w:cs="Arial"/>
                <w:sz w:val="24"/>
                <w:szCs w:val="24"/>
              </w:rPr>
              <w:t>/ Charge Nurse</w:t>
            </w:r>
            <w:r>
              <w:rPr>
                <w:rFonts w:ascii="Arial" w:hAnsi="Arial" w:cs="Arial"/>
                <w:sz w:val="24"/>
                <w:szCs w:val="24"/>
              </w:rPr>
              <w:t xml:space="preserve">. </w:t>
            </w:r>
            <w:r w:rsidR="000B4FFB">
              <w:rPr>
                <w:rFonts w:ascii="Arial" w:hAnsi="Arial" w:cs="Arial"/>
                <w:sz w:val="24"/>
                <w:szCs w:val="24"/>
              </w:rPr>
              <w:t>The level of responsibility and multi-faceted demands of this role mean that they should not be included in calculations of nurse to patient ratio. It is essential they are afforded sufficient time to fulfil their duties to the highest possible standard.</w:t>
            </w:r>
            <w:r w:rsidR="005F3701">
              <w:rPr>
                <w:rFonts w:ascii="Arial" w:hAnsi="Arial" w:cs="Arial"/>
                <w:sz w:val="24"/>
                <w:szCs w:val="24"/>
              </w:rPr>
              <w:t xml:space="preserve">  The role of this professional in multi – faceted and does require an overall ability to seek to work with patients when demand requires as an additional resource to complement existing provision by the primary Registered Nurse who will requires expertise from the ward sister,  if they are included in the numbers this would be </w:t>
            </w:r>
            <w:r w:rsidR="000C1DBA">
              <w:rPr>
                <w:rFonts w:ascii="Arial" w:hAnsi="Arial" w:cs="Arial"/>
                <w:sz w:val="24"/>
                <w:szCs w:val="24"/>
              </w:rPr>
              <w:t>in addition to all other elements of the role and if included in the overall numbers would result in lack of time to provide care requirements to those in need.</w:t>
            </w:r>
            <w:r w:rsidR="005F3701">
              <w:rPr>
                <w:rFonts w:ascii="Arial" w:hAnsi="Arial" w:cs="Arial"/>
                <w:sz w:val="24"/>
                <w:szCs w:val="24"/>
              </w:rPr>
              <w:t xml:space="preserve"> </w:t>
            </w:r>
          </w:p>
          <w:p w:rsidR="000B4FFB" w:rsidRDefault="000B4FFB" w:rsidP="003B32B7">
            <w:pPr>
              <w:rPr>
                <w:rFonts w:ascii="Arial" w:hAnsi="Arial" w:cs="Arial"/>
                <w:sz w:val="24"/>
                <w:szCs w:val="24"/>
              </w:rPr>
            </w:pPr>
          </w:p>
          <w:p w:rsidR="000B4FFB" w:rsidRDefault="000B4FFB" w:rsidP="003B32B7">
            <w:pPr>
              <w:rPr>
                <w:rFonts w:ascii="Arial" w:hAnsi="Arial" w:cs="Arial"/>
                <w:sz w:val="24"/>
                <w:szCs w:val="24"/>
              </w:rPr>
            </w:pPr>
            <w:r>
              <w:rPr>
                <w:rFonts w:ascii="Arial" w:hAnsi="Arial" w:cs="Arial"/>
                <w:sz w:val="24"/>
                <w:szCs w:val="24"/>
              </w:rPr>
              <w:t>Additionally, the guidance does not adequately reflect the fact that many nurses on acute wards will be</w:t>
            </w:r>
            <w:r w:rsidR="000C1DBA">
              <w:rPr>
                <w:rFonts w:ascii="Arial" w:hAnsi="Arial" w:cs="Arial"/>
                <w:sz w:val="24"/>
                <w:szCs w:val="24"/>
              </w:rPr>
              <w:t xml:space="preserve"> as part of their role and part of the Nursing and Midwifery Council requirements ( NMC Professional regulator  - non devolved to Wales role ie required to meet UK standard of regulation) will be</w:t>
            </w:r>
            <w:r>
              <w:rPr>
                <w:rFonts w:ascii="Arial" w:hAnsi="Arial" w:cs="Arial"/>
                <w:sz w:val="24"/>
                <w:szCs w:val="24"/>
              </w:rPr>
              <w:t xml:space="preserve"> mentoring student nurses, and therefore have additional demands on their time. This must be explicitly mentioned as a factor when calculating nurse staffing levels.</w:t>
            </w:r>
          </w:p>
          <w:p w:rsidR="000B4FFB" w:rsidRDefault="000B4FFB" w:rsidP="003B32B7">
            <w:pPr>
              <w:rPr>
                <w:rFonts w:ascii="Arial" w:hAnsi="Arial" w:cs="Arial"/>
                <w:sz w:val="24"/>
                <w:szCs w:val="24"/>
              </w:rPr>
            </w:pPr>
          </w:p>
          <w:p w:rsidR="000C1DBA" w:rsidRDefault="000B4FFB" w:rsidP="003B32B7">
            <w:pPr>
              <w:rPr>
                <w:rFonts w:ascii="Arial" w:hAnsi="Arial" w:cs="Arial"/>
                <w:sz w:val="24"/>
                <w:szCs w:val="24"/>
              </w:rPr>
            </w:pPr>
            <w:r>
              <w:rPr>
                <w:rFonts w:ascii="Arial" w:hAnsi="Arial" w:cs="Arial"/>
                <w:sz w:val="24"/>
                <w:szCs w:val="24"/>
              </w:rPr>
              <w:t xml:space="preserve">The reporting and accountability </w:t>
            </w:r>
            <w:r w:rsidR="000C1DBA">
              <w:rPr>
                <w:rFonts w:ascii="Arial" w:hAnsi="Arial" w:cs="Arial"/>
                <w:sz w:val="24"/>
                <w:szCs w:val="24"/>
              </w:rPr>
              <w:t xml:space="preserve">processes </w:t>
            </w:r>
            <w:r>
              <w:rPr>
                <w:rFonts w:ascii="Arial" w:hAnsi="Arial" w:cs="Arial"/>
                <w:sz w:val="24"/>
                <w:szCs w:val="24"/>
              </w:rPr>
              <w:t xml:space="preserve">of Health Boards is another area </w:t>
            </w:r>
            <w:r w:rsidRPr="000B4FFB">
              <w:rPr>
                <w:rFonts w:ascii="Arial" w:hAnsi="Arial" w:cs="Arial"/>
                <w:sz w:val="24"/>
                <w:szCs w:val="24"/>
              </w:rPr>
              <w:t>which the Royal College of Nursing</w:t>
            </w:r>
            <w:r>
              <w:rPr>
                <w:rFonts w:ascii="Arial" w:hAnsi="Arial" w:cs="Arial"/>
                <w:sz w:val="24"/>
                <w:szCs w:val="24"/>
              </w:rPr>
              <w:t xml:space="preserve"> is very concerned about. </w:t>
            </w:r>
            <w:r w:rsidR="000C1DBA">
              <w:rPr>
                <w:rFonts w:ascii="Arial" w:hAnsi="Arial" w:cs="Arial"/>
                <w:sz w:val="24"/>
                <w:szCs w:val="24"/>
              </w:rPr>
              <w:t xml:space="preserve"> </w:t>
            </w:r>
          </w:p>
          <w:p w:rsidR="000C1DBA" w:rsidRDefault="000C1DBA" w:rsidP="003B32B7">
            <w:pPr>
              <w:rPr>
                <w:rFonts w:ascii="Arial" w:hAnsi="Arial" w:cs="Arial"/>
                <w:sz w:val="24"/>
                <w:szCs w:val="24"/>
              </w:rPr>
            </w:pPr>
          </w:p>
          <w:p w:rsidR="000C1DBA" w:rsidRDefault="000B4FFB" w:rsidP="003B32B7">
            <w:pPr>
              <w:rPr>
                <w:rFonts w:ascii="Arial" w:hAnsi="Arial" w:cs="Arial"/>
                <w:sz w:val="24"/>
                <w:szCs w:val="24"/>
              </w:rPr>
            </w:pPr>
            <w:r>
              <w:rPr>
                <w:rFonts w:ascii="Arial" w:hAnsi="Arial" w:cs="Arial"/>
                <w:sz w:val="24"/>
                <w:szCs w:val="24"/>
              </w:rPr>
              <w:t xml:space="preserve">Whilst we understand that there is no requirement for the Welsh Government to issue </w:t>
            </w:r>
            <w:r w:rsidR="000C1DBA">
              <w:rPr>
                <w:rFonts w:ascii="Arial" w:hAnsi="Arial" w:cs="Arial"/>
                <w:sz w:val="24"/>
                <w:szCs w:val="24"/>
              </w:rPr>
              <w:t>S</w:t>
            </w:r>
            <w:r>
              <w:rPr>
                <w:rFonts w:ascii="Arial" w:hAnsi="Arial" w:cs="Arial"/>
                <w:sz w:val="24"/>
                <w:szCs w:val="24"/>
              </w:rPr>
              <w:t xml:space="preserve">tatutory </w:t>
            </w:r>
            <w:r w:rsidR="000C1DBA">
              <w:rPr>
                <w:rFonts w:ascii="Arial" w:hAnsi="Arial" w:cs="Arial"/>
                <w:sz w:val="24"/>
                <w:szCs w:val="24"/>
              </w:rPr>
              <w:t>G</w:t>
            </w:r>
            <w:r>
              <w:rPr>
                <w:rFonts w:ascii="Arial" w:hAnsi="Arial" w:cs="Arial"/>
                <w:sz w:val="24"/>
                <w:szCs w:val="24"/>
              </w:rPr>
              <w:t>uidance under section 25E of the Act, the Royal College would maintain that it is essential that guidance</w:t>
            </w:r>
            <w:r w:rsidR="000C1DBA">
              <w:rPr>
                <w:rFonts w:ascii="Arial" w:hAnsi="Arial" w:cs="Arial"/>
                <w:sz w:val="24"/>
                <w:szCs w:val="24"/>
              </w:rPr>
              <w:t xml:space="preserve"> is issued</w:t>
            </w:r>
            <w:r>
              <w:rPr>
                <w:rFonts w:ascii="Arial" w:hAnsi="Arial" w:cs="Arial"/>
                <w:sz w:val="24"/>
                <w:szCs w:val="24"/>
              </w:rPr>
              <w:t xml:space="preserve">, </w:t>
            </w:r>
            <w:r w:rsidR="000C1DBA">
              <w:rPr>
                <w:rFonts w:ascii="Arial" w:hAnsi="Arial" w:cs="Arial"/>
                <w:sz w:val="24"/>
                <w:szCs w:val="24"/>
              </w:rPr>
              <w:t xml:space="preserve">and that whilst it might not be included as </w:t>
            </w:r>
            <w:r>
              <w:rPr>
                <w:rFonts w:ascii="Arial" w:hAnsi="Arial" w:cs="Arial"/>
                <w:sz w:val="24"/>
                <w:szCs w:val="24"/>
              </w:rPr>
              <w:t xml:space="preserve">statutory </w:t>
            </w:r>
            <w:r w:rsidR="000C1DBA">
              <w:rPr>
                <w:rFonts w:ascii="Arial" w:hAnsi="Arial" w:cs="Arial"/>
                <w:sz w:val="24"/>
                <w:szCs w:val="24"/>
              </w:rPr>
              <w:t xml:space="preserve">guidance it may be issued as </w:t>
            </w:r>
            <w:r>
              <w:rPr>
                <w:rFonts w:ascii="Arial" w:hAnsi="Arial" w:cs="Arial"/>
                <w:sz w:val="24"/>
                <w:szCs w:val="24"/>
              </w:rPr>
              <w:t>non-statutory</w:t>
            </w:r>
            <w:r w:rsidR="000C1DBA">
              <w:rPr>
                <w:rFonts w:ascii="Arial" w:hAnsi="Arial" w:cs="Arial"/>
                <w:sz w:val="24"/>
                <w:szCs w:val="24"/>
              </w:rPr>
              <w:t xml:space="preserve"> guidance and that this must be </w:t>
            </w:r>
            <w:r>
              <w:rPr>
                <w:rFonts w:ascii="Arial" w:hAnsi="Arial" w:cs="Arial"/>
                <w:sz w:val="24"/>
                <w:szCs w:val="24"/>
              </w:rPr>
              <w:t xml:space="preserve">issued to Health Boards in order to assist them in collecting and reporting this data. </w:t>
            </w:r>
          </w:p>
          <w:p w:rsidR="000C1DBA" w:rsidRDefault="000C1DBA" w:rsidP="003B32B7">
            <w:pPr>
              <w:rPr>
                <w:rFonts w:ascii="Arial" w:hAnsi="Arial" w:cs="Arial"/>
                <w:sz w:val="24"/>
                <w:szCs w:val="24"/>
              </w:rPr>
            </w:pPr>
          </w:p>
          <w:p w:rsidR="003B32B7" w:rsidRDefault="000B4FFB" w:rsidP="003B32B7">
            <w:pPr>
              <w:rPr>
                <w:rFonts w:ascii="Arial" w:hAnsi="Arial" w:cs="Arial"/>
                <w:sz w:val="24"/>
                <w:szCs w:val="24"/>
              </w:rPr>
            </w:pPr>
            <w:r>
              <w:rPr>
                <w:rFonts w:ascii="Arial" w:hAnsi="Arial" w:cs="Arial"/>
                <w:sz w:val="24"/>
                <w:szCs w:val="24"/>
              </w:rPr>
              <w:t>Consistency between Health Boards in their approach to collecting and reporting the data will be crucial to workforce planning and</w:t>
            </w:r>
            <w:r w:rsidRPr="00C54007">
              <w:rPr>
                <w:rFonts w:ascii="Arial" w:hAnsi="Arial" w:cs="Arial"/>
                <w:sz w:val="24"/>
                <w:szCs w:val="24"/>
              </w:rPr>
              <w:t xml:space="preserve"> public scrutiny</w:t>
            </w:r>
            <w:r>
              <w:rPr>
                <w:rFonts w:ascii="Arial" w:hAnsi="Arial" w:cs="Arial"/>
                <w:sz w:val="24"/>
                <w:szCs w:val="24"/>
              </w:rPr>
              <w:t>.</w:t>
            </w:r>
            <w:r w:rsidR="000C1DBA">
              <w:rPr>
                <w:rFonts w:ascii="Arial" w:hAnsi="Arial" w:cs="Arial"/>
                <w:sz w:val="24"/>
                <w:szCs w:val="24"/>
              </w:rPr>
              <w:t xml:space="preserve"> This is not a process currently that is robust and we believe does not therefore relate to accurate staffing criteria being implemented.</w:t>
            </w:r>
          </w:p>
          <w:p w:rsidR="003F7DC1" w:rsidRPr="003B32B7" w:rsidRDefault="003F7DC1" w:rsidP="00833690">
            <w:pPr>
              <w:rPr>
                <w:rFonts w:ascii="Arial" w:hAnsi="Arial" w:cs="Arial"/>
                <w:sz w:val="24"/>
                <w:szCs w:val="24"/>
              </w:rPr>
            </w:pPr>
          </w:p>
          <w:p w:rsidR="003F7DC1" w:rsidRPr="003B32B7" w:rsidRDefault="003F7DC1" w:rsidP="000F1D82">
            <w:pPr>
              <w:rPr>
                <w:rFonts w:ascii="Arial" w:hAnsi="Arial" w:cs="Arial"/>
                <w:sz w:val="24"/>
                <w:szCs w:val="24"/>
              </w:rPr>
            </w:pPr>
          </w:p>
        </w:tc>
      </w:tr>
      <w:tr w:rsidR="000F1D82" w:rsidTr="003F7DC1">
        <w:tc>
          <w:tcPr>
            <w:tcW w:w="2802" w:type="dxa"/>
          </w:tcPr>
          <w:p w:rsidR="000F1D82" w:rsidRPr="003F7DC1" w:rsidRDefault="000F1D82" w:rsidP="00C97475">
            <w:pPr>
              <w:rPr>
                <w:rFonts w:ascii="Arial" w:hAnsi="Arial"/>
                <w:sz w:val="24"/>
                <w:szCs w:val="24"/>
              </w:rPr>
            </w:pPr>
            <w:r w:rsidRPr="003F7DC1">
              <w:rPr>
                <w:rFonts w:ascii="Arial" w:hAnsi="Arial"/>
                <w:sz w:val="24"/>
                <w:szCs w:val="24"/>
              </w:rPr>
              <w:lastRenderedPageBreak/>
              <w:t>Designated person</w:t>
            </w:r>
          </w:p>
          <w:p w:rsidR="000F1D82" w:rsidRDefault="000F1D82" w:rsidP="00833690"/>
        </w:tc>
        <w:tc>
          <w:tcPr>
            <w:tcW w:w="6440" w:type="dxa"/>
          </w:tcPr>
          <w:p w:rsidR="000F1D82" w:rsidRDefault="00FA33F7" w:rsidP="00833690">
            <w:pPr>
              <w:rPr>
                <w:rFonts w:ascii="Arial" w:hAnsi="Arial" w:cs="Arial"/>
                <w:sz w:val="24"/>
                <w:szCs w:val="24"/>
              </w:rPr>
            </w:pPr>
            <w:r>
              <w:rPr>
                <w:rFonts w:ascii="Arial" w:hAnsi="Arial" w:cs="Arial"/>
                <w:sz w:val="24"/>
                <w:szCs w:val="24"/>
              </w:rPr>
              <w:t xml:space="preserve">The wording “sufficient seniority” in point 7 is open to interpretation. It may be helpful to consider whether </w:t>
            </w:r>
            <w:r w:rsidR="000C1DBA">
              <w:rPr>
                <w:rFonts w:ascii="Arial" w:hAnsi="Arial" w:cs="Arial"/>
                <w:sz w:val="24"/>
                <w:szCs w:val="24"/>
              </w:rPr>
              <w:t xml:space="preserve">grading or </w:t>
            </w:r>
            <w:r>
              <w:rPr>
                <w:rFonts w:ascii="Arial" w:hAnsi="Arial" w:cs="Arial"/>
                <w:sz w:val="24"/>
                <w:szCs w:val="24"/>
              </w:rPr>
              <w:t>banding should be specified.</w:t>
            </w:r>
            <w:r w:rsidR="00256650">
              <w:rPr>
                <w:rFonts w:ascii="Arial" w:hAnsi="Arial" w:cs="Arial"/>
                <w:sz w:val="24"/>
                <w:szCs w:val="24"/>
              </w:rPr>
              <w:t xml:space="preserve"> </w:t>
            </w:r>
            <w:r w:rsidR="000C1DBA">
              <w:rPr>
                <w:rFonts w:ascii="Arial" w:hAnsi="Arial" w:cs="Arial"/>
                <w:sz w:val="24"/>
                <w:szCs w:val="24"/>
              </w:rPr>
              <w:t xml:space="preserve">  This will enable staff of relevant experience and seniority to use high levels of professional experience and therefore enable a more accurate assessment of need.</w:t>
            </w:r>
          </w:p>
          <w:p w:rsidR="00FA33F7" w:rsidRPr="003B32B7" w:rsidRDefault="00FA33F7"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0F1D82">
            <w:pPr>
              <w:rPr>
                <w:rFonts w:ascii="Arial" w:hAnsi="Arial" w:cs="Arial"/>
                <w:sz w:val="24"/>
                <w:szCs w:val="24"/>
              </w:rPr>
            </w:pPr>
          </w:p>
        </w:tc>
      </w:tr>
    </w:tbl>
    <w:p w:rsidR="00FA33F7" w:rsidRDefault="00FA33F7">
      <w:r>
        <w:br w:type="page"/>
      </w:r>
    </w:p>
    <w:tbl>
      <w:tblPr>
        <w:tblStyle w:val="TableGrid"/>
        <w:tblW w:w="0" w:type="auto"/>
        <w:tblInd w:w="0" w:type="dxa"/>
        <w:tblLook w:val="04A0" w:firstRow="1" w:lastRow="0" w:firstColumn="1" w:lastColumn="0" w:noHBand="0" w:noVBand="1"/>
      </w:tblPr>
      <w:tblGrid>
        <w:gridCol w:w="2802"/>
        <w:gridCol w:w="6440"/>
      </w:tblGrid>
      <w:tr w:rsidR="000F1D82" w:rsidTr="003F7DC1">
        <w:tc>
          <w:tcPr>
            <w:tcW w:w="2802" w:type="dxa"/>
          </w:tcPr>
          <w:p w:rsidR="000F1D82" w:rsidRPr="003F7DC1" w:rsidRDefault="000F1D82" w:rsidP="00C97475">
            <w:pPr>
              <w:rPr>
                <w:rFonts w:ascii="Arial" w:hAnsi="Arial"/>
                <w:sz w:val="24"/>
                <w:szCs w:val="24"/>
              </w:rPr>
            </w:pPr>
            <w:r w:rsidRPr="003F7DC1">
              <w:rPr>
                <w:rFonts w:ascii="Arial" w:hAnsi="Arial"/>
                <w:sz w:val="24"/>
                <w:szCs w:val="24"/>
              </w:rPr>
              <w:lastRenderedPageBreak/>
              <w:t xml:space="preserve">Reasonable </w:t>
            </w:r>
          </w:p>
          <w:p w:rsidR="000F1D82" w:rsidRDefault="000F1D82" w:rsidP="00833690">
            <w:r w:rsidRPr="003F7DC1">
              <w:rPr>
                <w:rFonts w:ascii="Arial" w:hAnsi="Arial"/>
                <w:sz w:val="24"/>
                <w:szCs w:val="24"/>
              </w:rPr>
              <w:t>Requirements</w:t>
            </w:r>
          </w:p>
        </w:tc>
        <w:tc>
          <w:tcPr>
            <w:tcW w:w="6440" w:type="dxa"/>
          </w:tcPr>
          <w:p w:rsidR="00FA33F7" w:rsidRDefault="00FA33F7" w:rsidP="00833690">
            <w:pPr>
              <w:rPr>
                <w:rFonts w:ascii="Arial" w:hAnsi="Arial" w:cs="Arial"/>
                <w:sz w:val="24"/>
                <w:szCs w:val="24"/>
              </w:rPr>
            </w:pPr>
            <w:r>
              <w:rPr>
                <w:rFonts w:ascii="Arial" w:hAnsi="Arial" w:cs="Arial"/>
                <w:sz w:val="24"/>
                <w:szCs w:val="24"/>
              </w:rPr>
              <w:t>It is important that patient’s nursing needs are accurately and expertly assessed. At point 9, the “ward nursing team” should therefore include a specified level of seniority to ensure that the assessment of patient need is made by a nurse with an appropriate level of experience and training.</w:t>
            </w:r>
            <w:r w:rsidR="000C1DBA">
              <w:rPr>
                <w:rFonts w:ascii="Arial" w:hAnsi="Arial" w:cs="Arial"/>
                <w:sz w:val="24"/>
                <w:szCs w:val="24"/>
              </w:rPr>
              <w:t xml:space="preserve">  We are very concerned to ensure that we require the recording of a Registered Nurse as being on the Highest level of registration and not  Nursing Associate level should the NMC confirm registration of the Associate level.</w:t>
            </w:r>
          </w:p>
          <w:p w:rsidR="00FA33F7" w:rsidRDefault="00FA33F7" w:rsidP="00833690">
            <w:pPr>
              <w:rPr>
                <w:rFonts w:ascii="Arial" w:hAnsi="Arial" w:cs="Arial"/>
                <w:sz w:val="24"/>
                <w:szCs w:val="24"/>
              </w:rPr>
            </w:pPr>
          </w:p>
          <w:p w:rsidR="000F1D82" w:rsidRPr="003B32B7" w:rsidRDefault="00FA33F7" w:rsidP="00833690">
            <w:pPr>
              <w:rPr>
                <w:rFonts w:ascii="Arial" w:hAnsi="Arial" w:cs="Arial"/>
                <w:sz w:val="24"/>
                <w:szCs w:val="24"/>
              </w:rPr>
            </w:pPr>
            <w:r>
              <w:rPr>
                <w:rFonts w:ascii="Arial" w:hAnsi="Arial" w:cs="Arial"/>
                <w:sz w:val="24"/>
                <w:szCs w:val="24"/>
              </w:rPr>
              <w:t xml:space="preserve"> </w:t>
            </w: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tc>
      </w:tr>
      <w:tr w:rsidR="000F1D82" w:rsidTr="003F7DC1">
        <w:tc>
          <w:tcPr>
            <w:tcW w:w="2802" w:type="dxa"/>
          </w:tcPr>
          <w:p w:rsidR="000F1D82" w:rsidRPr="003F7DC1" w:rsidRDefault="000F1D82" w:rsidP="00C97475">
            <w:pPr>
              <w:rPr>
                <w:rFonts w:ascii="Arial" w:hAnsi="Arial"/>
                <w:sz w:val="24"/>
                <w:szCs w:val="24"/>
              </w:rPr>
            </w:pPr>
            <w:r w:rsidRPr="003F7DC1">
              <w:rPr>
                <w:rFonts w:ascii="Arial" w:hAnsi="Arial"/>
                <w:sz w:val="24"/>
                <w:szCs w:val="24"/>
              </w:rPr>
              <w:t>Nurse staffing level</w:t>
            </w:r>
          </w:p>
          <w:p w:rsidR="000F1D82" w:rsidRDefault="000F1D82" w:rsidP="00833690"/>
        </w:tc>
        <w:tc>
          <w:tcPr>
            <w:tcW w:w="6440" w:type="dxa"/>
          </w:tcPr>
          <w:p w:rsidR="000F1D82" w:rsidRDefault="00FA33F7" w:rsidP="00833690">
            <w:pPr>
              <w:rPr>
                <w:rFonts w:ascii="Arial" w:hAnsi="Arial" w:cs="Arial"/>
                <w:sz w:val="24"/>
                <w:szCs w:val="24"/>
              </w:rPr>
            </w:pPr>
            <w:r>
              <w:rPr>
                <w:rFonts w:ascii="Arial" w:hAnsi="Arial" w:cs="Arial"/>
                <w:sz w:val="24"/>
                <w:szCs w:val="24"/>
              </w:rPr>
              <w:t>In the table at point 10 specifying the required es</w:t>
            </w:r>
            <w:r w:rsidR="00C578C8">
              <w:rPr>
                <w:rFonts w:ascii="Arial" w:hAnsi="Arial" w:cs="Arial"/>
                <w:sz w:val="24"/>
                <w:szCs w:val="24"/>
              </w:rPr>
              <w:t>tablishment, the final sentence</w:t>
            </w:r>
            <w:r>
              <w:rPr>
                <w:rFonts w:ascii="Arial" w:hAnsi="Arial" w:cs="Arial"/>
                <w:sz w:val="24"/>
                <w:szCs w:val="24"/>
              </w:rPr>
              <w:t xml:space="preserve"> states “This includes a resource to cover all staff absences and other functions that reduce their time to care for patients.” It is here that there must be</w:t>
            </w:r>
            <w:r w:rsidR="00C578C8">
              <w:rPr>
                <w:rFonts w:ascii="Arial" w:hAnsi="Arial" w:cs="Arial"/>
                <w:sz w:val="24"/>
                <w:szCs w:val="24"/>
              </w:rPr>
              <w:t xml:space="preserve"> explicit reference to the mentoring of student nurses, any </w:t>
            </w:r>
            <w:r w:rsidR="00E947CA">
              <w:rPr>
                <w:rFonts w:ascii="Arial" w:hAnsi="Arial" w:cs="Arial"/>
                <w:sz w:val="24"/>
                <w:szCs w:val="24"/>
              </w:rPr>
              <w:t>Continuous Professional Development  (</w:t>
            </w:r>
            <w:r w:rsidR="00C578C8">
              <w:rPr>
                <w:rFonts w:ascii="Arial" w:hAnsi="Arial" w:cs="Arial"/>
                <w:sz w:val="24"/>
                <w:szCs w:val="24"/>
              </w:rPr>
              <w:t>CPD</w:t>
            </w:r>
            <w:r w:rsidR="00E947CA">
              <w:rPr>
                <w:rFonts w:ascii="Arial" w:hAnsi="Arial" w:cs="Arial"/>
                <w:sz w:val="24"/>
                <w:szCs w:val="24"/>
              </w:rPr>
              <w:t xml:space="preserve">) any further </w:t>
            </w:r>
            <w:r w:rsidR="00C578C8">
              <w:rPr>
                <w:rFonts w:ascii="Arial" w:hAnsi="Arial" w:cs="Arial"/>
                <w:sz w:val="24"/>
                <w:szCs w:val="24"/>
              </w:rPr>
              <w:t xml:space="preserve">training requirements, </w:t>
            </w:r>
            <w:r w:rsidR="00E947CA">
              <w:rPr>
                <w:rFonts w:ascii="Arial" w:hAnsi="Arial" w:cs="Arial"/>
                <w:sz w:val="24"/>
                <w:szCs w:val="24"/>
              </w:rPr>
              <w:t xml:space="preserve">in addition to the </w:t>
            </w:r>
            <w:r w:rsidR="00C578C8">
              <w:rPr>
                <w:rFonts w:ascii="Arial" w:hAnsi="Arial" w:cs="Arial"/>
                <w:sz w:val="24"/>
                <w:szCs w:val="24"/>
              </w:rPr>
              <w:t>supernumerary role of the Ward Sister</w:t>
            </w:r>
            <w:r w:rsidR="00E947CA">
              <w:rPr>
                <w:rFonts w:ascii="Arial" w:hAnsi="Arial" w:cs="Arial"/>
                <w:sz w:val="24"/>
                <w:szCs w:val="24"/>
              </w:rPr>
              <w:t>/Charge Nurse</w:t>
            </w:r>
            <w:r w:rsidR="00C578C8">
              <w:rPr>
                <w:rFonts w:ascii="Arial" w:hAnsi="Arial" w:cs="Arial"/>
                <w:sz w:val="24"/>
                <w:szCs w:val="24"/>
              </w:rPr>
              <w:t xml:space="preserve">. </w:t>
            </w:r>
            <w:r w:rsidR="00E947CA">
              <w:rPr>
                <w:rFonts w:ascii="Arial" w:hAnsi="Arial" w:cs="Arial"/>
                <w:sz w:val="24"/>
                <w:szCs w:val="24"/>
              </w:rPr>
              <w:t xml:space="preserve"> All of these demands will </w:t>
            </w:r>
            <w:r w:rsidR="00C578C8">
              <w:rPr>
                <w:rFonts w:ascii="Arial" w:hAnsi="Arial" w:cs="Arial"/>
                <w:sz w:val="24"/>
                <w:szCs w:val="24"/>
              </w:rPr>
              <w:t xml:space="preserve"> reduce the amount of time that </w:t>
            </w:r>
            <w:r w:rsidR="00E947CA">
              <w:rPr>
                <w:rFonts w:ascii="Arial" w:hAnsi="Arial" w:cs="Arial"/>
                <w:sz w:val="24"/>
                <w:szCs w:val="24"/>
              </w:rPr>
              <w:t xml:space="preserve">registered </w:t>
            </w:r>
            <w:r w:rsidR="00C578C8">
              <w:rPr>
                <w:rFonts w:ascii="Arial" w:hAnsi="Arial" w:cs="Arial"/>
                <w:sz w:val="24"/>
                <w:szCs w:val="24"/>
              </w:rPr>
              <w:t>nurses are able to spend caring for patients</w:t>
            </w:r>
            <w:r w:rsidR="00AE04A3">
              <w:rPr>
                <w:rFonts w:ascii="Arial" w:hAnsi="Arial" w:cs="Arial"/>
                <w:sz w:val="24"/>
                <w:szCs w:val="24"/>
              </w:rPr>
              <w:t xml:space="preserve"> and subsequently meeting the required standards for providing safe care and preventing patients being put at risk</w:t>
            </w:r>
            <w:r w:rsidR="00C578C8">
              <w:rPr>
                <w:rFonts w:ascii="Arial" w:hAnsi="Arial" w:cs="Arial"/>
                <w:sz w:val="24"/>
                <w:szCs w:val="24"/>
              </w:rPr>
              <w:t>. These should be explicitly listed so as to ensure that they are always factored in when making th</w:t>
            </w:r>
            <w:r w:rsidR="00256650">
              <w:rPr>
                <w:rFonts w:ascii="Arial" w:hAnsi="Arial" w:cs="Arial"/>
                <w:sz w:val="24"/>
                <w:szCs w:val="24"/>
              </w:rPr>
              <w:t xml:space="preserve">e </w:t>
            </w:r>
            <w:r w:rsidR="00AE04A3">
              <w:rPr>
                <w:rFonts w:ascii="Arial" w:hAnsi="Arial" w:cs="Arial"/>
                <w:sz w:val="24"/>
                <w:szCs w:val="24"/>
              </w:rPr>
              <w:t xml:space="preserve">staffing </w:t>
            </w:r>
            <w:r w:rsidR="00256650">
              <w:rPr>
                <w:rFonts w:ascii="Arial" w:hAnsi="Arial" w:cs="Arial"/>
                <w:sz w:val="24"/>
                <w:szCs w:val="24"/>
              </w:rPr>
              <w:t>calculations.</w:t>
            </w:r>
          </w:p>
          <w:p w:rsidR="00C578C8" w:rsidRDefault="00C578C8" w:rsidP="00833690">
            <w:pPr>
              <w:rPr>
                <w:rFonts w:ascii="Arial" w:hAnsi="Arial" w:cs="Arial"/>
                <w:sz w:val="24"/>
                <w:szCs w:val="24"/>
              </w:rPr>
            </w:pPr>
          </w:p>
          <w:p w:rsidR="002A49C7" w:rsidRDefault="00256650" w:rsidP="00833690">
            <w:pPr>
              <w:rPr>
                <w:rFonts w:ascii="Arial" w:hAnsi="Arial" w:cs="Arial"/>
                <w:sz w:val="24"/>
                <w:szCs w:val="24"/>
              </w:rPr>
            </w:pPr>
            <w:r>
              <w:rPr>
                <w:rFonts w:ascii="Arial" w:hAnsi="Arial" w:cs="Arial"/>
                <w:sz w:val="24"/>
                <w:szCs w:val="24"/>
              </w:rPr>
              <w:t xml:space="preserve">We would also question the requirement to undertake the calculation every six months and whether or not this is sufficient, given how frequently the make-up of a ward can change (often on a daily or even hourly basis). </w:t>
            </w:r>
            <w:r w:rsidR="00FC4B8A">
              <w:rPr>
                <w:rFonts w:ascii="Arial" w:hAnsi="Arial" w:cs="Arial"/>
                <w:sz w:val="24"/>
                <w:szCs w:val="24"/>
              </w:rPr>
              <w:t xml:space="preserve">As outlined in points 23 to 26 in the Introduction to Section 25C, </w:t>
            </w:r>
            <w:r w:rsidR="002A49C7">
              <w:rPr>
                <w:rFonts w:ascii="Arial" w:hAnsi="Arial" w:cs="Arial"/>
                <w:sz w:val="24"/>
                <w:szCs w:val="24"/>
              </w:rPr>
              <w:t xml:space="preserve">there are a number of factors which the designated person must be mindful of when making the calculation, all of which are very changeable. </w:t>
            </w:r>
            <w:r w:rsidR="003A7E73">
              <w:rPr>
                <w:rFonts w:ascii="Arial" w:hAnsi="Arial" w:cs="Arial"/>
                <w:sz w:val="24"/>
                <w:szCs w:val="24"/>
              </w:rPr>
              <w:t xml:space="preserve"> </w:t>
            </w:r>
          </w:p>
          <w:p w:rsidR="002A49C7" w:rsidRDefault="002A49C7" w:rsidP="00833690">
            <w:pPr>
              <w:rPr>
                <w:rFonts w:ascii="Arial" w:hAnsi="Arial" w:cs="Arial"/>
                <w:sz w:val="24"/>
                <w:szCs w:val="24"/>
              </w:rPr>
            </w:pPr>
          </w:p>
          <w:p w:rsidR="00C578C8" w:rsidRDefault="002A49C7" w:rsidP="00833690">
            <w:pPr>
              <w:rPr>
                <w:rFonts w:ascii="Arial" w:hAnsi="Arial" w:cs="Arial"/>
                <w:sz w:val="24"/>
                <w:szCs w:val="24"/>
              </w:rPr>
            </w:pPr>
            <w:r>
              <w:rPr>
                <w:rFonts w:ascii="Arial" w:hAnsi="Arial" w:cs="Arial"/>
                <w:sz w:val="24"/>
                <w:szCs w:val="24"/>
              </w:rPr>
              <w:t>T</w:t>
            </w:r>
            <w:r w:rsidR="00256650">
              <w:rPr>
                <w:rFonts w:ascii="Arial" w:hAnsi="Arial" w:cs="Arial"/>
                <w:sz w:val="24"/>
                <w:szCs w:val="24"/>
              </w:rPr>
              <w:t xml:space="preserve">he important thing is that the designated person is alerted to any changes which may result in the need to recalculate the required nurse staffing level, and that the guidance allows for enough flexibility for an informed judgement to be made. We are concerned that </w:t>
            </w:r>
            <w:r w:rsidR="006A4BA5">
              <w:rPr>
                <w:rFonts w:ascii="Arial" w:hAnsi="Arial" w:cs="Arial"/>
                <w:sz w:val="24"/>
                <w:szCs w:val="24"/>
              </w:rPr>
              <w:t>it is too prescriptive to state</w:t>
            </w:r>
            <w:r w:rsidR="00256650">
              <w:rPr>
                <w:rFonts w:ascii="Arial" w:hAnsi="Arial" w:cs="Arial"/>
                <w:sz w:val="24"/>
                <w:szCs w:val="24"/>
              </w:rPr>
              <w:t xml:space="preserve"> “every six months” </w:t>
            </w:r>
            <w:r w:rsidR="006A4BA5">
              <w:rPr>
                <w:rFonts w:ascii="Arial" w:hAnsi="Arial" w:cs="Arial"/>
                <w:sz w:val="24"/>
                <w:szCs w:val="24"/>
              </w:rPr>
              <w:t xml:space="preserve">and that this </w:t>
            </w:r>
            <w:r w:rsidR="00256650">
              <w:rPr>
                <w:rFonts w:ascii="Arial" w:hAnsi="Arial" w:cs="Arial"/>
                <w:sz w:val="24"/>
                <w:szCs w:val="24"/>
              </w:rPr>
              <w:t xml:space="preserve">will result in </w:t>
            </w:r>
            <w:r w:rsidR="006A4BA5">
              <w:rPr>
                <w:rFonts w:ascii="Arial" w:hAnsi="Arial" w:cs="Arial"/>
                <w:sz w:val="24"/>
                <w:szCs w:val="24"/>
              </w:rPr>
              <w:t>external factors</w:t>
            </w:r>
            <w:r>
              <w:rPr>
                <w:rFonts w:ascii="Arial" w:hAnsi="Arial" w:cs="Arial"/>
                <w:sz w:val="24"/>
                <w:szCs w:val="24"/>
              </w:rPr>
              <w:t xml:space="preserve"> which may affect the required staffing level</w:t>
            </w:r>
            <w:r w:rsidR="006A4BA5">
              <w:rPr>
                <w:rFonts w:ascii="Arial" w:hAnsi="Arial" w:cs="Arial"/>
                <w:sz w:val="24"/>
                <w:szCs w:val="24"/>
              </w:rPr>
              <w:t xml:space="preserve"> not being taken into account.</w:t>
            </w:r>
            <w:r w:rsidR="003A7E73">
              <w:rPr>
                <w:rFonts w:ascii="Arial" w:hAnsi="Arial" w:cs="Arial"/>
                <w:sz w:val="24"/>
                <w:szCs w:val="24"/>
              </w:rPr>
              <w:t xml:space="preserve">  A more </w:t>
            </w:r>
            <w:r w:rsidR="003A7E73">
              <w:rPr>
                <w:rFonts w:ascii="Arial" w:hAnsi="Arial" w:cs="Arial"/>
                <w:sz w:val="24"/>
                <w:szCs w:val="24"/>
              </w:rPr>
              <w:lastRenderedPageBreak/>
              <w:t>regular review would be monthly with quarterly reporting  but stating exception reports when clear issues of concern are raised this is reported directly, and these times are also recorded for review.</w:t>
            </w:r>
          </w:p>
          <w:p w:rsidR="006A4BA5" w:rsidRDefault="006A4BA5" w:rsidP="00833690">
            <w:pPr>
              <w:rPr>
                <w:rFonts w:ascii="Arial" w:hAnsi="Arial" w:cs="Arial"/>
                <w:sz w:val="24"/>
                <w:szCs w:val="24"/>
              </w:rPr>
            </w:pPr>
          </w:p>
          <w:p w:rsidR="006A4BA5" w:rsidRDefault="006A4BA5" w:rsidP="00833690">
            <w:pPr>
              <w:rPr>
                <w:rFonts w:ascii="Arial" w:hAnsi="Arial" w:cs="Arial"/>
                <w:sz w:val="24"/>
                <w:szCs w:val="24"/>
              </w:rPr>
            </w:pPr>
          </w:p>
          <w:p w:rsidR="006A4BA5" w:rsidRDefault="006A4BA5" w:rsidP="00833690">
            <w:pPr>
              <w:rPr>
                <w:rFonts w:ascii="Arial" w:hAnsi="Arial" w:cs="Arial"/>
                <w:sz w:val="24"/>
                <w:szCs w:val="24"/>
              </w:rPr>
            </w:pPr>
          </w:p>
          <w:p w:rsidR="00C578C8" w:rsidRDefault="00C578C8" w:rsidP="00833690">
            <w:pPr>
              <w:rPr>
                <w:rFonts w:ascii="Arial" w:hAnsi="Arial" w:cs="Arial"/>
                <w:sz w:val="24"/>
                <w:szCs w:val="24"/>
              </w:rPr>
            </w:pPr>
          </w:p>
          <w:p w:rsidR="00C578C8" w:rsidRPr="003B32B7" w:rsidRDefault="00C578C8"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tc>
      </w:tr>
      <w:tr w:rsidR="000F1D82" w:rsidTr="003F7DC1">
        <w:tc>
          <w:tcPr>
            <w:tcW w:w="2802" w:type="dxa"/>
          </w:tcPr>
          <w:p w:rsidR="000F1D82" w:rsidRPr="003F7DC1" w:rsidRDefault="000F1D82" w:rsidP="00C97475">
            <w:pPr>
              <w:rPr>
                <w:rFonts w:ascii="Arial" w:hAnsi="Arial"/>
                <w:sz w:val="24"/>
                <w:szCs w:val="24"/>
              </w:rPr>
            </w:pPr>
            <w:r w:rsidRPr="003F7DC1">
              <w:rPr>
                <w:rFonts w:ascii="Arial" w:hAnsi="Arial"/>
                <w:sz w:val="24"/>
                <w:szCs w:val="24"/>
              </w:rPr>
              <w:lastRenderedPageBreak/>
              <w:t>Reasonable steps</w:t>
            </w:r>
          </w:p>
          <w:p w:rsidR="000F1D82" w:rsidRDefault="000F1D82" w:rsidP="00833690"/>
        </w:tc>
        <w:tc>
          <w:tcPr>
            <w:tcW w:w="6440" w:type="dxa"/>
          </w:tcPr>
          <w:p w:rsidR="006A4BA5" w:rsidRDefault="006A4BA5" w:rsidP="00833690">
            <w:pPr>
              <w:rPr>
                <w:rFonts w:ascii="Arial" w:hAnsi="Arial" w:cs="Arial"/>
                <w:sz w:val="24"/>
                <w:szCs w:val="24"/>
              </w:rPr>
            </w:pPr>
            <w:r>
              <w:rPr>
                <w:rFonts w:ascii="Arial" w:hAnsi="Arial" w:cs="Arial"/>
                <w:sz w:val="24"/>
                <w:szCs w:val="24"/>
              </w:rPr>
              <w:t xml:space="preserve">Important that there is parity between the different </w:t>
            </w:r>
            <w:r w:rsidR="003A7E73">
              <w:rPr>
                <w:rFonts w:ascii="Arial" w:hAnsi="Arial" w:cs="Arial"/>
                <w:sz w:val="24"/>
                <w:szCs w:val="24"/>
              </w:rPr>
              <w:t xml:space="preserve">professional </w:t>
            </w:r>
            <w:r>
              <w:rPr>
                <w:rFonts w:ascii="Arial" w:hAnsi="Arial" w:cs="Arial"/>
                <w:sz w:val="24"/>
                <w:szCs w:val="24"/>
              </w:rPr>
              <w:t xml:space="preserve">portfolios in terms of how their professional opinions are taken into account. </w:t>
            </w:r>
          </w:p>
          <w:p w:rsidR="006A4BA5" w:rsidRDefault="006A4BA5" w:rsidP="00833690">
            <w:pPr>
              <w:rPr>
                <w:rFonts w:ascii="Arial" w:hAnsi="Arial" w:cs="Arial"/>
                <w:sz w:val="24"/>
                <w:szCs w:val="24"/>
              </w:rPr>
            </w:pPr>
          </w:p>
          <w:p w:rsidR="006A4BA5" w:rsidRDefault="006A4BA5" w:rsidP="00833690">
            <w:pPr>
              <w:rPr>
                <w:rFonts w:ascii="Arial" w:hAnsi="Arial" w:cs="Arial"/>
                <w:sz w:val="24"/>
                <w:szCs w:val="24"/>
              </w:rPr>
            </w:pPr>
          </w:p>
          <w:p w:rsidR="006A4BA5" w:rsidRPr="003B32B7" w:rsidRDefault="006A4BA5"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tc>
      </w:tr>
      <w:tr w:rsidR="000F1D82" w:rsidTr="003F7DC1">
        <w:tc>
          <w:tcPr>
            <w:tcW w:w="2802" w:type="dxa"/>
          </w:tcPr>
          <w:p w:rsidR="000F1D82" w:rsidRPr="003F7DC1" w:rsidRDefault="000F1D82" w:rsidP="00C97475">
            <w:pPr>
              <w:rPr>
                <w:rFonts w:ascii="Arial" w:hAnsi="Arial"/>
                <w:sz w:val="24"/>
                <w:szCs w:val="24"/>
              </w:rPr>
            </w:pPr>
            <w:r w:rsidRPr="003F7DC1">
              <w:rPr>
                <w:rFonts w:ascii="Arial" w:hAnsi="Arial"/>
                <w:sz w:val="24"/>
                <w:szCs w:val="24"/>
              </w:rPr>
              <w:t>Informing patients</w:t>
            </w:r>
          </w:p>
          <w:p w:rsidR="000F1D82" w:rsidRDefault="000F1D82" w:rsidP="00833690"/>
        </w:tc>
        <w:tc>
          <w:tcPr>
            <w:tcW w:w="6440" w:type="dxa"/>
          </w:tcPr>
          <w:p w:rsidR="000F1D82" w:rsidRPr="003B32B7" w:rsidRDefault="006A4BA5" w:rsidP="00833690">
            <w:pPr>
              <w:rPr>
                <w:rFonts w:ascii="Arial" w:hAnsi="Arial" w:cs="Arial"/>
                <w:sz w:val="24"/>
                <w:szCs w:val="24"/>
              </w:rPr>
            </w:pPr>
            <w:r>
              <w:rPr>
                <w:rFonts w:ascii="Arial" w:hAnsi="Arial" w:cs="Arial"/>
                <w:sz w:val="24"/>
                <w:szCs w:val="24"/>
              </w:rPr>
              <w:t xml:space="preserve">More detail is required in this section to advise Health Boards of how they might present this information i.e. where and in what format. This would not be designed to be too prescriptive, but rather provide suggestions as to how patients could be informed of the staff level. One suggestion for instance might be a sticker or poster similar to a food hygiene rating which could be displayed on </w:t>
            </w:r>
            <w:r w:rsidR="008C1F61">
              <w:rPr>
                <w:rFonts w:ascii="Arial" w:hAnsi="Arial" w:cs="Arial"/>
                <w:sz w:val="24"/>
                <w:szCs w:val="24"/>
              </w:rPr>
              <w:t xml:space="preserve">the doors to the ward, or notice board in the ward. </w:t>
            </w:r>
            <w:r w:rsidR="003A7E73">
              <w:rPr>
                <w:rFonts w:ascii="Arial" w:hAnsi="Arial" w:cs="Arial"/>
                <w:sz w:val="24"/>
                <w:szCs w:val="24"/>
              </w:rPr>
              <w:t xml:space="preserve">  We do also feel that this should be available to patients as part of their admission pack  clearly engaging with patients and advising them that the Board take their care and safety seriously.</w:t>
            </w: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tc>
      </w:tr>
      <w:tr w:rsidR="000F1D82" w:rsidTr="003F7DC1">
        <w:tc>
          <w:tcPr>
            <w:tcW w:w="2802" w:type="dxa"/>
          </w:tcPr>
          <w:p w:rsidR="000F1D82" w:rsidRPr="003F7DC1" w:rsidRDefault="000F1D82" w:rsidP="00C97475">
            <w:pPr>
              <w:rPr>
                <w:rFonts w:ascii="Arial" w:hAnsi="Arial" w:cs="Arial"/>
                <w:sz w:val="24"/>
                <w:szCs w:val="24"/>
              </w:rPr>
            </w:pPr>
            <w:r w:rsidRPr="003F7DC1">
              <w:rPr>
                <w:rFonts w:ascii="Arial" w:hAnsi="Arial" w:cs="Arial"/>
                <w:sz w:val="24"/>
                <w:szCs w:val="24"/>
              </w:rPr>
              <w:t>Situations where section 25B applies</w:t>
            </w:r>
          </w:p>
          <w:p w:rsidR="000F1D82" w:rsidRDefault="000F1D82" w:rsidP="00833690"/>
        </w:tc>
        <w:tc>
          <w:tcPr>
            <w:tcW w:w="6440" w:type="dxa"/>
          </w:tcPr>
          <w:p w:rsidR="000F1D82" w:rsidRPr="003B32B7" w:rsidRDefault="00FC4B8A" w:rsidP="00833690">
            <w:pPr>
              <w:rPr>
                <w:rFonts w:ascii="Arial" w:hAnsi="Arial" w:cs="Arial"/>
                <w:sz w:val="24"/>
                <w:szCs w:val="24"/>
              </w:rPr>
            </w:pPr>
            <w:r>
              <w:rPr>
                <w:rFonts w:ascii="Arial" w:hAnsi="Arial" w:cs="Arial"/>
                <w:sz w:val="24"/>
                <w:szCs w:val="24"/>
              </w:rPr>
              <w:t>Content with this section.</w:t>
            </w: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p w:rsidR="000F1D82" w:rsidRPr="003B32B7" w:rsidRDefault="000F1D82" w:rsidP="00833690">
            <w:pPr>
              <w:rPr>
                <w:rFonts w:ascii="Arial" w:hAnsi="Arial" w:cs="Arial"/>
                <w:sz w:val="24"/>
                <w:szCs w:val="24"/>
              </w:rPr>
            </w:pPr>
          </w:p>
        </w:tc>
      </w:tr>
    </w:tbl>
    <w:p w:rsidR="003F7DC1" w:rsidRDefault="003F7DC1" w:rsidP="007D7D82">
      <w:pPr>
        <w:rPr>
          <w:rFonts w:ascii="Arial" w:hAnsi="Arial"/>
          <w:b/>
        </w:rPr>
      </w:pPr>
    </w:p>
    <w:tbl>
      <w:tblPr>
        <w:tblStyle w:val="TableGrid"/>
        <w:tblW w:w="0" w:type="auto"/>
        <w:tblInd w:w="0" w:type="dxa"/>
        <w:tblLook w:val="04A0" w:firstRow="1" w:lastRow="0" w:firstColumn="1" w:lastColumn="0" w:noHBand="0" w:noVBand="1"/>
      </w:tblPr>
      <w:tblGrid>
        <w:gridCol w:w="5778"/>
        <w:gridCol w:w="482"/>
        <w:gridCol w:w="482"/>
        <w:gridCol w:w="482"/>
        <w:gridCol w:w="482"/>
        <w:gridCol w:w="482"/>
        <w:gridCol w:w="1054"/>
      </w:tblGrid>
      <w:tr w:rsidR="00BE14BB" w:rsidTr="00833690">
        <w:tc>
          <w:tcPr>
            <w:tcW w:w="9242" w:type="dxa"/>
            <w:gridSpan w:val="7"/>
            <w:shd w:val="clear" w:color="auto" w:fill="A6A6A6" w:themeFill="background1" w:themeFillShade="A6"/>
          </w:tcPr>
          <w:p w:rsidR="004F3ADF" w:rsidRPr="003F7DC1" w:rsidRDefault="004F3ADF" w:rsidP="004F3ADF">
            <w:pPr>
              <w:pStyle w:val="ListParagraph"/>
              <w:numPr>
                <w:ilvl w:val="0"/>
                <w:numId w:val="13"/>
              </w:numPr>
              <w:rPr>
                <w:rFonts w:ascii="Arial" w:hAnsi="Arial" w:cs="Arial"/>
                <w:b/>
                <w:sz w:val="24"/>
                <w:szCs w:val="24"/>
              </w:rPr>
            </w:pPr>
            <w:r>
              <w:rPr>
                <w:rFonts w:ascii="Arial" w:hAnsi="Arial" w:cs="Arial"/>
                <w:b/>
                <w:sz w:val="24"/>
                <w:szCs w:val="24"/>
              </w:rPr>
              <w:t>On a scale of 1 to 5, where 1 is not helpful at all and 5 is very helpful; h</w:t>
            </w:r>
            <w:r w:rsidRPr="003F7DC1">
              <w:rPr>
                <w:rFonts w:ascii="Arial" w:hAnsi="Arial" w:cs="Arial"/>
                <w:b/>
                <w:sz w:val="24"/>
                <w:szCs w:val="24"/>
              </w:rPr>
              <w:t xml:space="preserve">ow helpful did you find the following parts of the guidance? </w:t>
            </w:r>
          </w:p>
          <w:p w:rsidR="004F3ADF" w:rsidRPr="003F7DC1" w:rsidRDefault="004F3ADF" w:rsidP="004F3ADF">
            <w:pPr>
              <w:pStyle w:val="ListParagraph"/>
              <w:rPr>
                <w:rFonts w:ascii="Arial" w:hAnsi="Arial" w:cs="Arial"/>
                <w:b/>
                <w:sz w:val="24"/>
                <w:szCs w:val="24"/>
              </w:rPr>
            </w:pPr>
            <w:r w:rsidRPr="003F7DC1">
              <w:rPr>
                <w:rFonts w:ascii="Arial" w:hAnsi="Arial" w:cs="Arial"/>
                <w:b/>
                <w:sz w:val="24"/>
                <w:szCs w:val="24"/>
              </w:rPr>
              <w:t>(Please tick one option for each part)</w:t>
            </w:r>
          </w:p>
          <w:p w:rsidR="00BE14BB" w:rsidRPr="00BE14BB" w:rsidRDefault="00BE14BB" w:rsidP="00833690">
            <w:pPr>
              <w:pStyle w:val="ListParagraph"/>
              <w:rPr>
                <w:rFonts w:ascii="Arial" w:hAnsi="Arial" w:cs="Arial"/>
                <w:b/>
                <w:sz w:val="24"/>
                <w:szCs w:val="24"/>
              </w:rPr>
            </w:pPr>
          </w:p>
          <w:p w:rsidR="00BE14BB" w:rsidRPr="00BE14BB" w:rsidRDefault="00BE14BB" w:rsidP="00833690">
            <w:pPr>
              <w:pStyle w:val="ListParagraph"/>
              <w:rPr>
                <w:rFonts w:ascii="Arial" w:hAnsi="Arial" w:cs="Arial"/>
                <w:b/>
                <w:sz w:val="24"/>
                <w:szCs w:val="24"/>
              </w:rPr>
            </w:pPr>
          </w:p>
        </w:tc>
      </w:tr>
      <w:tr w:rsidR="000F1D82" w:rsidTr="004315CE">
        <w:tc>
          <w:tcPr>
            <w:tcW w:w="5778" w:type="dxa"/>
            <w:shd w:val="clear" w:color="auto" w:fill="D9D9D9" w:themeFill="background1" w:themeFillShade="D9"/>
          </w:tcPr>
          <w:p w:rsidR="000F1D82" w:rsidRPr="00BE14BB" w:rsidRDefault="000F1D82" w:rsidP="00833690">
            <w:pPr>
              <w:rPr>
                <w:rFonts w:ascii="Arial" w:hAnsi="Arial" w:cs="Arial"/>
                <w:b/>
                <w:sz w:val="24"/>
                <w:szCs w:val="24"/>
              </w:rPr>
            </w:pPr>
            <w:r w:rsidRPr="00BE14BB">
              <w:rPr>
                <w:rFonts w:ascii="Arial" w:hAnsi="Arial" w:cs="Arial"/>
                <w:b/>
                <w:sz w:val="24"/>
                <w:szCs w:val="24"/>
              </w:rPr>
              <w:t>Part</w:t>
            </w:r>
          </w:p>
        </w:tc>
        <w:tc>
          <w:tcPr>
            <w:tcW w:w="482" w:type="dxa"/>
            <w:shd w:val="clear" w:color="auto" w:fill="D9D9D9" w:themeFill="background1" w:themeFillShade="D9"/>
          </w:tcPr>
          <w:p w:rsidR="000F1D82" w:rsidRPr="000F1D82" w:rsidRDefault="000F1D82" w:rsidP="00833690">
            <w:pPr>
              <w:rPr>
                <w:rFonts w:ascii="Arial" w:hAnsi="Arial" w:cs="Arial"/>
                <w:b/>
                <w:sz w:val="24"/>
                <w:szCs w:val="24"/>
              </w:rPr>
            </w:pPr>
            <w:r>
              <w:rPr>
                <w:rFonts w:ascii="Arial" w:hAnsi="Arial" w:cs="Arial"/>
                <w:b/>
                <w:sz w:val="24"/>
                <w:szCs w:val="24"/>
              </w:rPr>
              <w:t>1</w:t>
            </w:r>
          </w:p>
        </w:tc>
        <w:tc>
          <w:tcPr>
            <w:tcW w:w="482" w:type="dxa"/>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2</w:t>
            </w:r>
          </w:p>
        </w:tc>
        <w:tc>
          <w:tcPr>
            <w:tcW w:w="482" w:type="dxa"/>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3</w:t>
            </w:r>
          </w:p>
        </w:tc>
        <w:tc>
          <w:tcPr>
            <w:tcW w:w="482" w:type="dxa"/>
            <w:shd w:val="clear" w:color="auto" w:fill="D9D9D9" w:themeFill="background1" w:themeFillShade="D9"/>
          </w:tcPr>
          <w:p w:rsidR="000F1D82" w:rsidRPr="000F1D82" w:rsidRDefault="000F1D82" w:rsidP="00833690">
            <w:pPr>
              <w:rPr>
                <w:rFonts w:ascii="Arial" w:hAnsi="Arial" w:cs="Arial"/>
                <w:b/>
                <w:sz w:val="24"/>
                <w:szCs w:val="24"/>
              </w:rPr>
            </w:pPr>
            <w:r w:rsidRPr="000F1D82">
              <w:rPr>
                <w:rFonts w:ascii="Arial" w:hAnsi="Arial" w:cs="Arial"/>
                <w:b/>
                <w:sz w:val="24"/>
                <w:szCs w:val="24"/>
              </w:rPr>
              <w:t>4</w:t>
            </w:r>
          </w:p>
        </w:tc>
        <w:tc>
          <w:tcPr>
            <w:tcW w:w="482" w:type="dxa"/>
            <w:shd w:val="clear" w:color="auto" w:fill="D9D9D9" w:themeFill="background1" w:themeFillShade="D9"/>
          </w:tcPr>
          <w:p w:rsidR="000F1D82" w:rsidRPr="00BE14BB" w:rsidRDefault="000F1D82" w:rsidP="00833690">
            <w:pPr>
              <w:rPr>
                <w:rFonts w:ascii="Arial" w:hAnsi="Arial" w:cs="Arial"/>
                <w:b/>
                <w:sz w:val="24"/>
                <w:szCs w:val="24"/>
              </w:rPr>
            </w:pPr>
            <w:r>
              <w:rPr>
                <w:rFonts w:ascii="Arial" w:hAnsi="Arial" w:cs="Arial"/>
                <w:b/>
                <w:sz w:val="24"/>
                <w:szCs w:val="24"/>
              </w:rPr>
              <w:t>5</w:t>
            </w:r>
          </w:p>
        </w:tc>
        <w:tc>
          <w:tcPr>
            <w:tcW w:w="1054" w:type="dxa"/>
            <w:shd w:val="clear" w:color="auto" w:fill="D9D9D9" w:themeFill="background1" w:themeFillShade="D9"/>
          </w:tcPr>
          <w:p w:rsidR="000F1D82" w:rsidRPr="00BE14BB" w:rsidRDefault="000F1D82" w:rsidP="00833690">
            <w:pPr>
              <w:rPr>
                <w:rFonts w:ascii="Arial" w:hAnsi="Arial" w:cs="Arial"/>
                <w:b/>
                <w:sz w:val="24"/>
                <w:szCs w:val="24"/>
              </w:rPr>
            </w:pPr>
            <w:r w:rsidRPr="00BE14BB">
              <w:rPr>
                <w:rFonts w:ascii="Arial" w:hAnsi="Arial" w:cs="Arial"/>
                <w:b/>
                <w:sz w:val="24"/>
                <w:szCs w:val="24"/>
              </w:rPr>
              <w:t>Don’t Know</w:t>
            </w:r>
          </w:p>
        </w:tc>
      </w:tr>
      <w:tr w:rsidR="00BE14BB" w:rsidTr="00833690">
        <w:tc>
          <w:tcPr>
            <w:tcW w:w="9242" w:type="dxa"/>
            <w:gridSpan w:val="7"/>
            <w:shd w:val="clear" w:color="auto" w:fill="D9D9D9" w:themeFill="background1" w:themeFillShade="D9"/>
          </w:tcPr>
          <w:p w:rsidR="00BE14BB" w:rsidRPr="00BE14BB" w:rsidRDefault="00BE14BB" w:rsidP="00833690">
            <w:pPr>
              <w:rPr>
                <w:rFonts w:ascii="Arial" w:hAnsi="Arial" w:cs="Arial"/>
                <w:b/>
                <w:sz w:val="24"/>
                <w:szCs w:val="24"/>
              </w:rPr>
            </w:pPr>
            <w:r w:rsidRPr="00BE14BB">
              <w:rPr>
                <w:rFonts w:ascii="Arial" w:hAnsi="Arial" w:cs="Arial"/>
                <w:b/>
                <w:sz w:val="24"/>
                <w:szCs w:val="24"/>
              </w:rPr>
              <w:t>Section 25C</w:t>
            </w:r>
          </w:p>
        </w:tc>
      </w:tr>
      <w:tr w:rsidR="000F1D82" w:rsidTr="00D22559">
        <w:tc>
          <w:tcPr>
            <w:tcW w:w="5778" w:type="dxa"/>
          </w:tcPr>
          <w:p w:rsidR="000F1D82" w:rsidRPr="00BE14BB" w:rsidRDefault="000F1D82" w:rsidP="00833690">
            <w:pPr>
              <w:rPr>
                <w:rFonts w:ascii="Arial" w:hAnsi="Arial"/>
                <w:sz w:val="24"/>
                <w:szCs w:val="24"/>
              </w:rPr>
            </w:pPr>
            <w:r w:rsidRPr="00BE14BB">
              <w:rPr>
                <w:rFonts w:ascii="Arial" w:hAnsi="Arial"/>
                <w:sz w:val="24"/>
                <w:szCs w:val="24"/>
              </w:rPr>
              <w:lastRenderedPageBreak/>
              <w:t>Introduction to section 25C</w:t>
            </w:r>
          </w:p>
          <w:p w:rsidR="000F1D82" w:rsidRPr="00BE14BB" w:rsidRDefault="000F1D82" w:rsidP="00833690">
            <w:pPr>
              <w:rPr>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FC4B8A" w:rsidP="00833690">
            <w:pPr>
              <w:rPr>
                <w:rFonts w:ascii="Arial" w:hAnsi="Arial" w:cs="Arial"/>
                <w:b/>
                <w:sz w:val="24"/>
                <w:szCs w:val="24"/>
              </w:rPr>
            </w:pPr>
            <w:r w:rsidRPr="00FC4B8A">
              <w:rPr>
                <w:rFonts w:ascii="Arial" w:hAnsi="Arial" w:cs="Arial"/>
                <w:b/>
                <w:sz w:val="24"/>
                <w:szCs w:val="24"/>
              </w:rPr>
              <w:sym w:font="Wingdings" w:char="F0FC"/>
            </w: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1054" w:type="dxa"/>
          </w:tcPr>
          <w:p w:rsidR="000F1D82" w:rsidRPr="00BE14BB" w:rsidRDefault="000F1D82" w:rsidP="00833690">
            <w:pPr>
              <w:rPr>
                <w:sz w:val="24"/>
                <w:szCs w:val="24"/>
              </w:rPr>
            </w:pPr>
          </w:p>
        </w:tc>
      </w:tr>
      <w:tr w:rsidR="000F1D82" w:rsidTr="00D22559">
        <w:tc>
          <w:tcPr>
            <w:tcW w:w="5778" w:type="dxa"/>
          </w:tcPr>
          <w:p w:rsidR="000F1D82" w:rsidRPr="00BE14BB" w:rsidRDefault="000F1D82" w:rsidP="00833690">
            <w:pPr>
              <w:rPr>
                <w:rFonts w:ascii="Arial" w:hAnsi="Arial"/>
                <w:sz w:val="24"/>
                <w:szCs w:val="24"/>
              </w:rPr>
            </w:pPr>
            <w:r w:rsidRPr="00BE14BB">
              <w:rPr>
                <w:rFonts w:ascii="Arial" w:hAnsi="Arial"/>
                <w:sz w:val="24"/>
                <w:szCs w:val="24"/>
              </w:rPr>
              <w:t>Professional Judgement</w:t>
            </w:r>
          </w:p>
          <w:p w:rsidR="000F1D82" w:rsidRPr="00BE14BB" w:rsidRDefault="000F1D82" w:rsidP="00833690">
            <w:pPr>
              <w:rPr>
                <w:sz w:val="24"/>
                <w:szCs w:val="24"/>
              </w:rPr>
            </w:pPr>
          </w:p>
        </w:tc>
        <w:tc>
          <w:tcPr>
            <w:tcW w:w="482" w:type="dxa"/>
          </w:tcPr>
          <w:p w:rsidR="000F1D82" w:rsidRPr="00FC4B8A" w:rsidRDefault="00FC4B8A" w:rsidP="00833690">
            <w:pPr>
              <w:rPr>
                <w:rFonts w:ascii="Arial" w:hAnsi="Arial" w:cs="Arial"/>
                <w:b/>
                <w:sz w:val="24"/>
                <w:szCs w:val="24"/>
              </w:rPr>
            </w:pPr>
            <w:r>
              <w:rPr>
                <w:rFonts w:ascii="Arial" w:hAnsi="Arial" w:cs="Arial"/>
                <w:b/>
                <w:sz w:val="24"/>
                <w:szCs w:val="24"/>
              </w:rPr>
              <w:sym w:font="Wingdings" w:char="F0FC"/>
            </w: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1054" w:type="dxa"/>
          </w:tcPr>
          <w:p w:rsidR="000F1D82" w:rsidRPr="00BE14BB" w:rsidRDefault="000F1D82" w:rsidP="00833690">
            <w:pPr>
              <w:rPr>
                <w:sz w:val="24"/>
                <w:szCs w:val="24"/>
              </w:rPr>
            </w:pPr>
          </w:p>
        </w:tc>
      </w:tr>
      <w:tr w:rsidR="000F1D82" w:rsidTr="00D22559">
        <w:tc>
          <w:tcPr>
            <w:tcW w:w="5778" w:type="dxa"/>
          </w:tcPr>
          <w:p w:rsidR="000F1D82" w:rsidRPr="00BE14BB" w:rsidRDefault="000F1D82" w:rsidP="00833690">
            <w:pPr>
              <w:rPr>
                <w:rFonts w:ascii="Arial" w:hAnsi="Arial" w:cs="Arial"/>
                <w:sz w:val="24"/>
                <w:szCs w:val="24"/>
              </w:rPr>
            </w:pPr>
            <w:r w:rsidRPr="00BE14BB">
              <w:rPr>
                <w:rFonts w:ascii="Arial" w:hAnsi="Arial" w:cs="Arial"/>
                <w:sz w:val="24"/>
                <w:szCs w:val="24"/>
              </w:rPr>
              <w:t>Evidence Based workforce planning tool</w:t>
            </w:r>
          </w:p>
          <w:p w:rsidR="000F1D82" w:rsidRPr="00BE14BB" w:rsidRDefault="000F1D82" w:rsidP="00833690">
            <w:pPr>
              <w:rPr>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FC4B8A" w:rsidP="00833690">
            <w:pPr>
              <w:rPr>
                <w:rFonts w:ascii="Arial" w:hAnsi="Arial" w:cs="Arial"/>
                <w:b/>
                <w:sz w:val="24"/>
                <w:szCs w:val="24"/>
              </w:rPr>
            </w:pPr>
            <w:r>
              <w:rPr>
                <w:rFonts w:ascii="Arial" w:hAnsi="Arial" w:cs="Arial"/>
                <w:b/>
                <w:sz w:val="24"/>
                <w:szCs w:val="24"/>
              </w:rPr>
              <w:sym w:font="Wingdings" w:char="F0FC"/>
            </w: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1054" w:type="dxa"/>
          </w:tcPr>
          <w:p w:rsidR="000F1D82" w:rsidRPr="00BE14BB" w:rsidRDefault="000F1D82" w:rsidP="00833690">
            <w:pPr>
              <w:rPr>
                <w:sz w:val="24"/>
                <w:szCs w:val="24"/>
              </w:rPr>
            </w:pPr>
          </w:p>
        </w:tc>
      </w:tr>
      <w:tr w:rsidR="000F1D82" w:rsidTr="00D22559">
        <w:tc>
          <w:tcPr>
            <w:tcW w:w="5778" w:type="dxa"/>
          </w:tcPr>
          <w:p w:rsidR="000F1D82" w:rsidRPr="00BE14BB" w:rsidRDefault="000F1D82" w:rsidP="00833690">
            <w:pPr>
              <w:rPr>
                <w:rFonts w:ascii="Arial" w:hAnsi="Arial" w:cs="Arial"/>
                <w:sz w:val="24"/>
                <w:szCs w:val="24"/>
              </w:rPr>
            </w:pPr>
            <w:r w:rsidRPr="00BE14BB">
              <w:rPr>
                <w:rFonts w:ascii="Arial" w:hAnsi="Arial" w:cs="Arial"/>
                <w:sz w:val="24"/>
                <w:szCs w:val="24"/>
              </w:rPr>
              <w:t>Patient wellbeing is particularly sensitive to care provided by a nurse</w:t>
            </w:r>
          </w:p>
          <w:p w:rsidR="000F1D82" w:rsidRPr="00BE14BB" w:rsidRDefault="000F1D82" w:rsidP="00833690">
            <w:pPr>
              <w:rPr>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FC4B8A" w:rsidP="00833690">
            <w:pPr>
              <w:rPr>
                <w:rFonts w:ascii="Arial" w:hAnsi="Arial" w:cs="Arial"/>
                <w:b/>
                <w:sz w:val="24"/>
                <w:szCs w:val="24"/>
              </w:rPr>
            </w:pPr>
            <w:r>
              <w:rPr>
                <w:rFonts w:ascii="Arial" w:hAnsi="Arial" w:cs="Arial"/>
                <w:b/>
                <w:sz w:val="24"/>
                <w:szCs w:val="24"/>
              </w:rPr>
              <w:sym w:font="Wingdings" w:char="F0FC"/>
            </w: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482" w:type="dxa"/>
          </w:tcPr>
          <w:p w:rsidR="000F1D82" w:rsidRPr="00FC4B8A" w:rsidRDefault="000F1D82" w:rsidP="00833690">
            <w:pPr>
              <w:rPr>
                <w:rFonts w:ascii="Arial" w:hAnsi="Arial" w:cs="Arial"/>
                <w:b/>
                <w:sz w:val="24"/>
                <w:szCs w:val="24"/>
              </w:rPr>
            </w:pPr>
          </w:p>
        </w:tc>
        <w:tc>
          <w:tcPr>
            <w:tcW w:w="1054" w:type="dxa"/>
          </w:tcPr>
          <w:p w:rsidR="000F1D82" w:rsidRPr="00BE14BB" w:rsidRDefault="000F1D82" w:rsidP="00833690">
            <w:pPr>
              <w:rPr>
                <w:sz w:val="24"/>
                <w:szCs w:val="24"/>
              </w:rPr>
            </w:pPr>
          </w:p>
        </w:tc>
      </w:tr>
    </w:tbl>
    <w:p w:rsidR="0053255E" w:rsidRDefault="0053255E" w:rsidP="007D7D82">
      <w:pPr>
        <w:rPr>
          <w:rFonts w:ascii="Arial" w:hAnsi="Arial"/>
          <w:b/>
        </w:rPr>
      </w:pPr>
    </w:p>
    <w:p w:rsidR="001B4C20" w:rsidRDefault="001B4C20" w:rsidP="007D7D82">
      <w:pPr>
        <w:rPr>
          <w:rFonts w:ascii="Arial" w:hAnsi="Arial"/>
          <w:b/>
        </w:rPr>
      </w:pPr>
    </w:p>
    <w:tbl>
      <w:tblPr>
        <w:tblStyle w:val="TableGrid"/>
        <w:tblW w:w="0" w:type="auto"/>
        <w:tblInd w:w="0" w:type="dxa"/>
        <w:tblLook w:val="04A0" w:firstRow="1" w:lastRow="0" w:firstColumn="1" w:lastColumn="0" w:noHBand="0" w:noVBand="1"/>
      </w:tblPr>
      <w:tblGrid>
        <w:gridCol w:w="4621"/>
        <w:gridCol w:w="4621"/>
      </w:tblGrid>
      <w:tr w:rsidR="00BE14BB" w:rsidTr="00833690">
        <w:tc>
          <w:tcPr>
            <w:tcW w:w="9242" w:type="dxa"/>
            <w:gridSpan w:val="2"/>
            <w:shd w:val="clear" w:color="auto" w:fill="A6A6A6" w:themeFill="background1" w:themeFillShade="A6"/>
          </w:tcPr>
          <w:p w:rsidR="00BE14BB" w:rsidRPr="00BE14BB" w:rsidRDefault="00BE14BB" w:rsidP="004F3ADF">
            <w:pPr>
              <w:pStyle w:val="ListParagraph"/>
              <w:numPr>
                <w:ilvl w:val="0"/>
                <w:numId w:val="13"/>
              </w:numPr>
              <w:rPr>
                <w:sz w:val="24"/>
                <w:szCs w:val="24"/>
              </w:rPr>
            </w:pPr>
            <w:r w:rsidRPr="005E5DD8">
              <w:rPr>
                <w:rFonts w:ascii="Arial" w:hAnsi="Arial" w:cs="Arial"/>
                <w:b/>
                <w:sz w:val="24"/>
                <w:szCs w:val="24"/>
              </w:rPr>
              <w:t xml:space="preserve">If </w:t>
            </w:r>
            <w:r w:rsidRPr="00BE14BB">
              <w:rPr>
                <w:rFonts w:ascii="Arial" w:hAnsi="Arial" w:cs="Arial"/>
                <w:b/>
                <w:sz w:val="24"/>
                <w:szCs w:val="24"/>
              </w:rPr>
              <w:t>you feel part of the guidance could be improved</w:t>
            </w:r>
            <w:r w:rsidR="005E5DD8">
              <w:rPr>
                <w:rFonts w:ascii="Arial" w:hAnsi="Arial" w:cs="Arial"/>
                <w:b/>
                <w:sz w:val="24"/>
                <w:szCs w:val="24"/>
              </w:rPr>
              <w:t>,</w:t>
            </w:r>
            <w:r w:rsidRPr="00BE14BB">
              <w:rPr>
                <w:rFonts w:ascii="Arial" w:hAnsi="Arial" w:cs="Arial"/>
                <w:b/>
                <w:sz w:val="24"/>
                <w:szCs w:val="24"/>
              </w:rPr>
              <w:t xml:space="preserve"> please tell us about it below. You may wish to consider whether anything could be added or removed from the guidance, or whether wording could be changed to improve clarity.</w:t>
            </w:r>
          </w:p>
        </w:tc>
      </w:tr>
      <w:tr w:rsidR="00BE14BB" w:rsidTr="00833690">
        <w:tc>
          <w:tcPr>
            <w:tcW w:w="4621" w:type="dxa"/>
            <w:shd w:val="clear" w:color="auto" w:fill="D9D9D9" w:themeFill="background1" w:themeFillShade="D9"/>
          </w:tcPr>
          <w:p w:rsidR="00BE14BB" w:rsidRPr="00BE14BB" w:rsidRDefault="00BE14BB" w:rsidP="00833690">
            <w:pPr>
              <w:rPr>
                <w:rFonts w:ascii="Arial" w:hAnsi="Arial" w:cs="Arial"/>
                <w:b/>
                <w:sz w:val="24"/>
                <w:szCs w:val="24"/>
              </w:rPr>
            </w:pPr>
            <w:r w:rsidRPr="00BE14BB">
              <w:rPr>
                <w:rFonts w:ascii="Arial" w:hAnsi="Arial" w:cs="Arial"/>
                <w:b/>
                <w:sz w:val="24"/>
                <w:szCs w:val="24"/>
              </w:rPr>
              <w:t>Part</w:t>
            </w:r>
          </w:p>
        </w:tc>
        <w:tc>
          <w:tcPr>
            <w:tcW w:w="4621" w:type="dxa"/>
            <w:shd w:val="clear" w:color="auto" w:fill="D9D9D9" w:themeFill="background1" w:themeFillShade="D9"/>
          </w:tcPr>
          <w:p w:rsidR="00BE14BB" w:rsidRPr="00BE14BB" w:rsidRDefault="00BE14BB" w:rsidP="00833690">
            <w:pPr>
              <w:rPr>
                <w:rFonts w:ascii="Arial" w:hAnsi="Arial" w:cs="Arial"/>
                <w:b/>
                <w:sz w:val="24"/>
                <w:szCs w:val="24"/>
              </w:rPr>
            </w:pPr>
            <w:r w:rsidRPr="00BE14BB">
              <w:rPr>
                <w:rFonts w:ascii="Arial" w:hAnsi="Arial" w:cs="Arial"/>
                <w:b/>
                <w:sz w:val="24"/>
                <w:szCs w:val="24"/>
              </w:rPr>
              <w:t>Improvement</w:t>
            </w:r>
          </w:p>
        </w:tc>
      </w:tr>
      <w:tr w:rsidR="000F1D82" w:rsidTr="00833690">
        <w:tc>
          <w:tcPr>
            <w:tcW w:w="4621" w:type="dxa"/>
          </w:tcPr>
          <w:p w:rsidR="000F1D82" w:rsidRPr="00BE14BB" w:rsidRDefault="000F1D82" w:rsidP="00C97475">
            <w:pPr>
              <w:rPr>
                <w:rFonts w:ascii="Arial" w:hAnsi="Arial"/>
                <w:sz w:val="24"/>
                <w:szCs w:val="24"/>
              </w:rPr>
            </w:pPr>
            <w:r w:rsidRPr="00BE14BB">
              <w:rPr>
                <w:rFonts w:ascii="Arial" w:hAnsi="Arial"/>
                <w:sz w:val="24"/>
                <w:szCs w:val="24"/>
              </w:rPr>
              <w:t>Introduction to section 25C</w:t>
            </w:r>
          </w:p>
          <w:p w:rsidR="000F1D82" w:rsidRDefault="000F1D82" w:rsidP="00833690"/>
        </w:tc>
        <w:tc>
          <w:tcPr>
            <w:tcW w:w="4621" w:type="dxa"/>
          </w:tcPr>
          <w:p w:rsidR="002A49C7" w:rsidRDefault="002A49C7" w:rsidP="00833690">
            <w:pPr>
              <w:rPr>
                <w:rFonts w:ascii="Arial" w:hAnsi="Arial" w:cs="Arial"/>
                <w:sz w:val="24"/>
                <w:szCs w:val="24"/>
              </w:rPr>
            </w:pPr>
          </w:p>
          <w:p w:rsidR="002A49C7" w:rsidRDefault="002A49C7" w:rsidP="00833690">
            <w:pPr>
              <w:rPr>
                <w:rFonts w:ascii="Arial" w:hAnsi="Arial" w:cs="Arial"/>
                <w:sz w:val="24"/>
                <w:szCs w:val="24"/>
              </w:rPr>
            </w:pPr>
          </w:p>
          <w:p w:rsidR="002A49C7" w:rsidRPr="00FC4B8A" w:rsidRDefault="002A49C7" w:rsidP="00833690">
            <w:pPr>
              <w:rPr>
                <w:rFonts w:ascii="Arial" w:hAnsi="Arial" w:cs="Arial"/>
                <w:sz w:val="24"/>
                <w:szCs w:val="24"/>
              </w:rPr>
            </w:pPr>
          </w:p>
          <w:p w:rsidR="000F1D82" w:rsidRPr="00FC4B8A" w:rsidRDefault="000F1D82" w:rsidP="00833690">
            <w:pPr>
              <w:rPr>
                <w:rFonts w:ascii="Arial" w:hAnsi="Arial" w:cs="Arial"/>
                <w:sz w:val="24"/>
                <w:szCs w:val="24"/>
              </w:rPr>
            </w:pPr>
          </w:p>
          <w:p w:rsidR="000F1D82" w:rsidRPr="00FC4B8A" w:rsidRDefault="000F1D82" w:rsidP="00833690">
            <w:pPr>
              <w:rPr>
                <w:rFonts w:ascii="Arial" w:hAnsi="Arial" w:cs="Arial"/>
                <w:sz w:val="24"/>
                <w:szCs w:val="24"/>
              </w:rPr>
            </w:pPr>
          </w:p>
          <w:p w:rsidR="000F1D82" w:rsidRDefault="000F1D82" w:rsidP="00833690">
            <w:pPr>
              <w:rPr>
                <w:rFonts w:ascii="Arial" w:hAnsi="Arial" w:cs="Arial"/>
                <w:sz w:val="24"/>
                <w:szCs w:val="24"/>
              </w:rPr>
            </w:pPr>
          </w:p>
          <w:p w:rsidR="002A49C7" w:rsidRDefault="002A49C7" w:rsidP="00833690">
            <w:pPr>
              <w:rPr>
                <w:rFonts w:ascii="Arial" w:hAnsi="Arial" w:cs="Arial"/>
                <w:sz w:val="24"/>
                <w:szCs w:val="24"/>
              </w:rPr>
            </w:pPr>
          </w:p>
          <w:p w:rsidR="002A49C7" w:rsidRDefault="002A49C7" w:rsidP="00833690">
            <w:pPr>
              <w:rPr>
                <w:rFonts w:ascii="Arial" w:hAnsi="Arial" w:cs="Arial"/>
                <w:sz w:val="24"/>
                <w:szCs w:val="24"/>
              </w:rPr>
            </w:pPr>
          </w:p>
          <w:p w:rsidR="002A49C7" w:rsidRDefault="002A49C7" w:rsidP="00833690">
            <w:pPr>
              <w:rPr>
                <w:rFonts w:ascii="Arial" w:hAnsi="Arial" w:cs="Arial"/>
                <w:sz w:val="24"/>
                <w:szCs w:val="24"/>
              </w:rPr>
            </w:pPr>
          </w:p>
          <w:p w:rsidR="002A49C7" w:rsidRPr="00FC4B8A" w:rsidRDefault="002A49C7" w:rsidP="00833690">
            <w:pPr>
              <w:rPr>
                <w:rFonts w:ascii="Arial" w:hAnsi="Arial" w:cs="Arial"/>
                <w:sz w:val="24"/>
                <w:szCs w:val="24"/>
              </w:rPr>
            </w:pPr>
          </w:p>
        </w:tc>
      </w:tr>
      <w:tr w:rsidR="000F1D82" w:rsidTr="00833690">
        <w:tc>
          <w:tcPr>
            <w:tcW w:w="4621" w:type="dxa"/>
          </w:tcPr>
          <w:p w:rsidR="000F1D82" w:rsidRPr="00BE14BB" w:rsidRDefault="000F1D82" w:rsidP="00C97475">
            <w:pPr>
              <w:rPr>
                <w:rFonts w:ascii="Arial" w:hAnsi="Arial"/>
                <w:sz w:val="24"/>
                <w:szCs w:val="24"/>
              </w:rPr>
            </w:pPr>
            <w:r w:rsidRPr="00BE14BB">
              <w:rPr>
                <w:rFonts w:ascii="Arial" w:hAnsi="Arial"/>
                <w:sz w:val="24"/>
                <w:szCs w:val="24"/>
              </w:rPr>
              <w:t>Professional Judgement</w:t>
            </w:r>
          </w:p>
          <w:p w:rsidR="000F1D82" w:rsidRDefault="000F1D82" w:rsidP="00833690"/>
        </w:tc>
        <w:tc>
          <w:tcPr>
            <w:tcW w:w="4621" w:type="dxa"/>
          </w:tcPr>
          <w:p w:rsidR="007054B4" w:rsidRDefault="007054B4" w:rsidP="007054B4">
            <w:pPr>
              <w:rPr>
                <w:rFonts w:ascii="Arial" w:hAnsi="Arial" w:cs="Arial"/>
                <w:sz w:val="24"/>
                <w:szCs w:val="24"/>
              </w:rPr>
            </w:pPr>
            <w:r>
              <w:rPr>
                <w:rFonts w:ascii="Arial" w:hAnsi="Arial" w:cs="Arial"/>
                <w:sz w:val="24"/>
                <w:szCs w:val="24"/>
              </w:rPr>
              <w:t xml:space="preserve">Point 27 should state “each calculation </w:t>
            </w:r>
            <w:r w:rsidRPr="003A7E73">
              <w:rPr>
                <w:rFonts w:ascii="Arial" w:hAnsi="Arial" w:cs="Arial"/>
                <w:b/>
                <w:sz w:val="24"/>
                <w:szCs w:val="24"/>
              </w:rPr>
              <w:t xml:space="preserve">must </w:t>
            </w:r>
            <w:r>
              <w:rPr>
                <w:rFonts w:ascii="Arial" w:hAnsi="Arial" w:cs="Arial"/>
                <w:sz w:val="24"/>
                <w:szCs w:val="24"/>
              </w:rPr>
              <w:t xml:space="preserve">include all of the following”, rather than “can include all or any of the following”. Each one of the considerations listed is imperative to making an informed professional judgement and should not therefore be treated as an either/or list. </w:t>
            </w:r>
          </w:p>
          <w:p w:rsidR="000F1D82" w:rsidRDefault="000F1D82" w:rsidP="00833690">
            <w:pPr>
              <w:rPr>
                <w:rFonts w:ascii="Arial" w:hAnsi="Arial" w:cs="Arial"/>
                <w:sz w:val="24"/>
                <w:szCs w:val="24"/>
              </w:rPr>
            </w:pPr>
          </w:p>
          <w:p w:rsidR="002D464F" w:rsidRDefault="007054B4" w:rsidP="00833690">
            <w:pPr>
              <w:rPr>
                <w:rFonts w:ascii="Arial" w:hAnsi="Arial" w:cs="Arial"/>
                <w:sz w:val="24"/>
                <w:szCs w:val="24"/>
              </w:rPr>
            </w:pPr>
            <w:r>
              <w:rPr>
                <w:rFonts w:ascii="Arial" w:hAnsi="Arial" w:cs="Arial"/>
                <w:sz w:val="24"/>
                <w:szCs w:val="24"/>
              </w:rPr>
              <w:t>The 5</w:t>
            </w:r>
            <w:r w:rsidRPr="007054B4">
              <w:rPr>
                <w:rFonts w:ascii="Arial" w:hAnsi="Arial" w:cs="Arial"/>
                <w:sz w:val="24"/>
                <w:szCs w:val="24"/>
                <w:vertAlign w:val="superscript"/>
              </w:rPr>
              <w:t>th</w:t>
            </w:r>
            <w:r>
              <w:rPr>
                <w:rFonts w:ascii="Arial" w:hAnsi="Arial" w:cs="Arial"/>
                <w:sz w:val="24"/>
                <w:szCs w:val="24"/>
              </w:rPr>
              <w:t xml:space="preserve"> bullet point relating to qualifications, competencies, skills and experience needs further elaboration</w:t>
            </w:r>
            <w:r w:rsidR="002D464F">
              <w:rPr>
                <w:rFonts w:ascii="Arial" w:hAnsi="Arial" w:cs="Arial"/>
                <w:sz w:val="24"/>
                <w:szCs w:val="24"/>
              </w:rPr>
              <w:t xml:space="preserve"> and clarification</w:t>
            </w:r>
            <w:r>
              <w:rPr>
                <w:rFonts w:ascii="Arial" w:hAnsi="Arial" w:cs="Arial"/>
                <w:sz w:val="24"/>
                <w:szCs w:val="24"/>
              </w:rPr>
              <w:t xml:space="preserve">. </w:t>
            </w:r>
          </w:p>
          <w:p w:rsidR="007054B4" w:rsidRDefault="007054B4" w:rsidP="00833690">
            <w:pPr>
              <w:rPr>
                <w:rFonts w:ascii="Arial" w:hAnsi="Arial" w:cs="Arial"/>
                <w:sz w:val="24"/>
                <w:szCs w:val="24"/>
              </w:rPr>
            </w:pPr>
            <w:r>
              <w:rPr>
                <w:rFonts w:ascii="Arial" w:hAnsi="Arial" w:cs="Arial"/>
                <w:sz w:val="24"/>
                <w:szCs w:val="24"/>
              </w:rPr>
              <w:t xml:space="preserve">Student nurses should be included in </w:t>
            </w:r>
            <w:r w:rsidR="002D464F">
              <w:rPr>
                <w:rFonts w:ascii="Arial" w:hAnsi="Arial" w:cs="Arial"/>
                <w:sz w:val="24"/>
                <w:szCs w:val="24"/>
              </w:rPr>
              <w:t xml:space="preserve">the listing </w:t>
            </w:r>
            <w:r>
              <w:rPr>
                <w:rFonts w:ascii="Arial" w:hAnsi="Arial" w:cs="Arial"/>
                <w:sz w:val="24"/>
                <w:szCs w:val="24"/>
              </w:rPr>
              <w:t>“health professionals or other staff”</w:t>
            </w:r>
            <w:r w:rsidR="00C01D4C">
              <w:rPr>
                <w:rFonts w:ascii="Arial" w:hAnsi="Arial" w:cs="Arial"/>
                <w:sz w:val="24"/>
                <w:szCs w:val="24"/>
              </w:rPr>
              <w:t xml:space="preserve"> as Registered Nurses who are mentoring </w:t>
            </w:r>
            <w:r w:rsidR="002D464F">
              <w:rPr>
                <w:rFonts w:ascii="Arial" w:hAnsi="Arial" w:cs="Arial"/>
                <w:sz w:val="24"/>
                <w:szCs w:val="24"/>
              </w:rPr>
              <w:t xml:space="preserve">these </w:t>
            </w:r>
            <w:r w:rsidR="00C01D4C">
              <w:rPr>
                <w:rFonts w:ascii="Arial" w:hAnsi="Arial" w:cs="Arial"/>
                <w:sz w:val="24"/>
                <w:szCs w:val="24"/>
              </w:rPr>
              <w:t>student nurses will be required to delegate tasks and supervise where appropriate</w:t>
            </w:r>
            <w:r w:rsidR="002D464F">
              <w:rPr>
                <w:rFonts w:ascii="Arial" w:hAnsi="Arial" w:cs="Arial"/>
                <w:sz w:val="24"/>
                <w:szCs w:val="24"/>
              </w:rPr>
              <w:t xml:space="preserve"> and also assess competency and record this for the </w:t>
            </w:r>
            <w:r w:rsidR="002D464F">
              <w:rPr>
                <w:rFonts w:ascii="Arial" w:hAnsi="Arial" w:cs="Arial"/>
                <w:sz w:val="24"/>
                <w:szCs w:val="24"/>
              </w:rPr>
              <w:lastRenderedPageBreak/>
              <w:t>student record as part of the regulatory requirements</w:t>
            </w:r>
            <w:r w:rsidR="00C01D4C">
              <w:rPr>
                <w:rFonts w:ascii="Arial" w:hAnsi="Arial" w:cs="Arial"/>
                <w:sz w:val="24"/>
                <w:szCs w:val="24"/>
              </w:rPr>
              <w:t>.</w:t>
            </w:r>
          </w:p>
          <w:p w:rsidR="00C01D4C" w:rsidRDefault="00C01D4C" w:rsidP="00833690">
            <w:pPr>
              <w:rPr>
                <w:rFonts w:ascii="Arial" w:hAnsi="Arial" w:cs="Arial"/>
                <w:sz w:val="24"/>
                <w:szCs w:val="24"/>
              </w:rPr>
            </w:pPr>
          </w:p>
          <w:p w:rsidR="00C01D4C" w:rsidRPr="00C01D4C" w:rsidRDefault="00C01D4C" w:rsidP="00833690">
            <w:pPr>
              <w:rPr>
                <w:rFonts w:ascii="Arial" w:hAnsi="Arial" w:cs="Arial"/>
                <w:sz w:val="24"/>
                <w:szCs w:val="24"/>
              </w:rPr>
            </w:pPr>
            <w:r>
              <w:rPr>
                <w:rFonts w:ascii="Arial" w:hAnsi="Arial" w:cs="Arial"/>
                <w:sz w:val="24"/>
                <w:szCs w:val="24"/>
              </w:rPr>
              <w:t xml:space="preserve">Further detail could also be included on the final bullet point relating to administrative functions. This is a very broad term and it would be helpful to specify that this could include the </w:t>
            </w:r>
            <w:r w:rsidRPr="00C01D4C">
              <w:rPr>
                <w:rFonts w:ascii="Arial" w:hAnsi="Arial" w:cs="Arial"/>
                <w:sz w:val="24"/>
                <w:szCs w:val="24"/>
              </w:rPr>
              <w:t>following:</w:t>
            </w:r>
          </w:p>
          <w:p w:rsidR="00C01D4C" w:rsidRDefault="00C01D4C" w:rsidP="00C01D4C">
            <w:pPr>
              <w:pStyle w:val="ListParagraph"/>
              <w:numPr>
                <w:ilvl w:val="0"/>
                <w:numId w:val="28"/>
              </w:numPr>
              <w:rPr>
                <w:rFonts w:ascii="Arial" w:hAnsi="Arial" w:cs="Arial"/>
                <w:sz w:val="24"/>
                <w:szCs w:val="24"/>
              </w:rPr>
            </w:pPr>
            <w:r w:rsidRPr="00C01D4C">
              <w:rPr>
                <w:rFonts w:ascii="Arial" w:hAnsi="Arial" w:cs="Arial"/>
                <w:sz w:val="24"/>
                <w:szCs w:val="24"/>
              </w:rPr>
              <w:t>Patient discharge (often a complex and lengthy administrative process)</w:t>
            </w:r>
          </w:p>
          <w:p w:rsidR="00C01D4C" w:rsidRDefault="00C01D4C" w:rsidP="00C01D4C">
            <w:pPr>
              <w:pStyle w:val="ListParagraph"/>
              <w:numPr>
                <w:ilvl w:val="0"/>
                <w:numId w:val="28"/>
              </w:numPr>
              <w:rPr>
                <w:rFonts w:ascii="Arial" w:hAnsi="Arial" w:cs="Arial"/>
                <w:sz w:val="24"/>
                <w:szCs w:val="24"/>
              </w:rPr>
            </w:pPr>
            <w:r>
              <w:rPr>
                <w:rFonts w:ascii="Arial" w:hAnsi="Arial" w:cs="Arial"/>
                <w:sz w:val="24"/>
                <w:szCs w:val="24"/>
              </w:rPr>
              <w:t>Documenting progress of student nurses and providing written feedback</w:t>
            </w:r>
          </w:p>
          <w:p w:rsidR="00C01D4C" w:rsidRDefault="00C01D4C" w:rsidP="00C01D4C">
            <w:pPr>
              <w:pStyle w:val="ListParagraph"/>
              <w:numPr>
                <w:ilvl w:val="0"/>
                <w:numId w:val="28"/>
              </w:numPr>
              <w:rPr>
                <w:rFonts w:ascii="Arial" w:hAnsi="Arial" w:cs="Arial"/>
                <w:sz w:val="24"/>
                <w:szCs w:val="24"/>
              </w:rPr>
            </w:pPr>
            <w:r>
              <w:rPr>
                <w:rFonts w:ascii="Arial" w:hAnsi="Arial" w:cs="Arial"/>
                <w:sz w:val="24"/>
                <w:szCs w:val="24"/>
              </w:rPr>
              <w:t xml:space="preserve">HR management such as </w:t>
            </w:r>
            <w:r w:rsidRPr="00C01D4C">
              <w:rPr>
                <w:rFonts w:ascii="Arial" w:hAnsi="Arial" w:cs="Arial"/>
                <w:sz w:val="24"/>
                <w:szCs w:val="24"/>
              </w:rPr>
              <w:t>sickness and absence management</w:t>
            </w:r>
            <w:r>
              <w:rPr>
                <w:rFonts w:ascii="Arial" w:hAnsi="Arial" w:cs="Arial"/>
                <w:sz w:val="24"/>
                <w:szCs w:val="24"/>
              </w:rPr>
              <w:t>,</w:t>
            </w:r>
            <w:r w:rsidRPr="00C01D4C">
              <w:rPr>
                <w:rFonts w:ascii="Arial" w:hAnsi="Arial" w:cs="Arial"/>
                <w:sz w:val="24"/>
                <w:szCs w:val="24"/>
              </w:rPr>
              <w:t xml:space="preserve"> appraisals and disciplinary procedures</w:t>
            </w:r>
            <w:r>
              <w:rPr>
                <w:rFonts w:ascii="Arial" w:hAnsi="Arial" w:cs="Arial"/>
                <w:sz w:val="24"/>
                <w:szCs w:val="24"/>
              </w:rPr>
              <w:t xml:space="preserve"> (particularly relevant for Ward sisters)</w:t>
            </w:r>
          </w:p>
          <w:p w:rsidR="00C01D4C" w:rsidRDefault="00C01D4C" w:rsidP="00C01D4C">
            <w:pPr>
              <w:pStyle w:val="ListParagraph"/>
              <w:numPr>
                <w:ilvl w:val="0"/>
                <w:numId w:val="28"/>
              </w:numPr>
              <w:rPr>
                <w:rFonts w:ascii="Arial" w:hAnsi="Arial" w:cs="Arial"/>
                <w:sz w:val="24"/>
                <w:szCs w:val="24"/>
              </w:rPr>
            </w:pPr>
            <w:r>
              <w:rPr>
                <w:rFonts w:ascii="Arial" w:hAnsi="Arial" w:cs="Arial"/>
                <w:sz w:val="24"/>
                <w:szCs w:val="24"/>
              </w:rPr>
              <w:t>Ward rotas and rostering</w:t>
            </w:r>
          </w:p>
          <w:p w:rsidR="002D464F" w:rsidRDefault="002D464F" w:rsidP="00C01D4C">
            <w:pPr>
              <w:pStyle w:val="ListParagraph"/>
              <w:numPr>
                <w:ilvl w:val="0"/>
                <w:numId w:val="28"/>
              </w:numPr>
              <w:rPr>
                <w:rFonts w:ascii="Arial" w:hAnsi="Arial" w:cs="Arial"/>
                <w:sz w:val="24"/>
                <w:szCs w:val="24"/>
              </w:rPr>
            </w:pPr>
            <w:r>
              <w:rPr>
                <w:rFonts w:ascii="Arial" w:hAnsi="Arial" w:cs="Arial"/>
                <w:sz w:val="24"/>
                <w:szCs w:val="24"/>
              </w:rPr>
              <w:t>Responding to Inspectorate documentation and visits</w:t>
            </w:r>
          </w:p>
          <w:p w:rsidR="002D464F" w:rsidRDefault="002D464F" w:rsidP="00C01D4C">
            <w:pPr>
              <w:pStyle w:val="ListParagraph"/>
              <w:numPr>
                <w:ilvl w:val="0"/>
                <w:numId w:val="28"/>
              </w:numPr>
              <w:rPr>
                <w:rFonts w:ascii="Arial" w:hAnsi="Arial" w:cs="Arial"/>
                <w:sz w:val="24"/>
                <w:szCs w:val="24"/>
              </w:rPr>
            </w:pPr>
            <w:r>
              <w:rPr>
                <w:rFonts w:ascii="Arial" w:hAnsi="Arial" w:cs="Arial"/>
                <w:sz w:val="24"/>
                <w:szCs w:val="24"/>
              </w:rPr>
              <w:t>Ward stocks and refurbishment and equipment documentation</w:t>
            </w:r>
          </w:p>
          <w:p w:rsidR="002D464F" w:rsidRPr="00C01D4C" w:rsidRDefault="002D464F" w:rsidP="00C01D4C">
            <w:pPr>
              <w:pStyle w:val="ListParagraph"/>
              <w:numPr>
                <w:ilvl w:val="0"/>
                <w:numId w:val="28"/>
              </w:numPr>
              <w:rPr>
                <w:rFonts w:ascii="Arial" w:hAnsi="Arial" w:cs="Arial"/>
                <w:sz w:val="24"/>
                <w:szCs w:val="24"/>
              </w:rPr>
            </w:pPr>
            <w:r>
              <w:rPr>
                <w:rFonts w:ascii="Arial" w:hAnsi="Arial" w:cs="Arial"/>
                <w:sz w:val="24"/>
                <w:szCs w:val="24"/>
              </w:rPr>
              <w:t>Compliance to Health and Safety requirements etc</w:t>
            </w:r>
          </w:p>
          <w:p w:rsidR="000F1D82" w:rsidRPr="00FC4B8A" w:rsidRDefault="000F1D82" w:rsidP="00833690">
            <w:pPr>
              <w:rPr>
                <w:rFonts w:ascii="Arial" w:hAnsi="Arial" w:cs="Arial"/>
                <w:sz w:val="24"/>
                <w:szCs w:val="24"/>
              </w:rPr>
            </w:pPr>
          </w:p>
          <w:p w:rsidR="000F1D82" w:rsidRPr="00FC4B8A" w:rsidRDefault="000F1D82" w:rsidP="00833690">
            <w:pPr>
              <w:rPr>
                <w:rFonts w:ascii="Arial" w:hAnsi="Arial" w:cs="Arial"/>
                <w:sz w:val="24"/>
                <w:szCs w:val="24"/>
              </w:rPr>
            </w:pPr>
          </w:p>
        </w:tc>
      </w:tr>
      <w:tr w:rsidR="000F1D82" w:rsidTr="00833690">
        <w:tc>
          <w:tcPr>
            <w:tcW w:w="4621" w:type="dxa"/>
          </w:tcPr>
          <w:p w:rsidR="000F1D82" w:rsidRPr="00BE14BB" w:rsidRDefault="000F1D82" w:rsidP="00C97475">
            <w:pPr>
              <w:rPr>
                <w:rFonts w:ascii="Arial" w:hAnsi="Arial" w:cs="Arial"/>
                <w:sz w:val="24"/>
                <w:szCs w:val="24"/>
              </w:rPr>
            </w:pPr>
            <w:r w:rsidRPr="00BE14BB">
              <w:rPr>
                <w:rFonts w:ascii="Arial" w:hAnsi="Arial" w:cs="Arial"/>
                <w:sz w:val="24"/>
                <w:szCs w:val="24"/>
              </w:rPr>
              <w:lastRenderedPageBreak/>
              <w:t>Evidence Based workforce planning tool</w:t>
            </w:r>
          </w:p>
          <w:p w:rsidR="000F1D82" w:rsidRDefault="000F1D82" w:rsidP="00833690"/>
        </w:tc>
        <w:tc>
          <w:tcPr>
            <w:tcW w:w="4621" w:type="dxa"/>
          </w:tcPr>
          <w:p w:rsidR="000F1D82" w:rsidRDefault="00A20F7B" w:rsidP="00833690">
            <w:pPr>
              <w:rPr>
                <w:rFonts w:ascii="Arial" w:hAnsi="Arial" w:cs="Arial"/>
                <w:sz w:val="24"/>
                <w:szCs w:val="24"/>
              </w:rPr>
            </w:pPr>
            <w:r>
              <w:rPr>
                <w:rFonts w:ascii="Arial" w:hAnsi="Arial" w:cs="Arial"/>
                <w:sz w:val="24"/>
                <w:szCs w:val="24"/>
              </w:rPr>
              <w:t>Content with this section</w:t>
            </w:r>
          </w:p>
          <w:p w:rsidR="00A20F7B" w:rsidRDefault="00A20F7B" w:rsidP="00833690">
            <w:pPr>
              <w:rPr>
                <w:rFonts w:ascii="Arial" w:hAnsi="Arial" w:cs="Arial"/>
                <w:sz w:val="24"/>
                <w:szCs w:val="24"/>
              </w:rPr>
            </w:pPr>
          </w:p>
          <w:p w:rsidR="00A20F7B" w:rsidRPr="00FC4B8A" w:rsidRDefault="00A20F7B" w:rsidP="00833690">
            <w:pPr>
              <w:rPr>
                <w:rFonts w:ascii="Arial" w:hAnsi="Arial" w:cs="Arial"/>
                <w:sz w:val="24"/>
                <w:szCs w:val="24"/>
              </w:rPr>
            </w:pPr>
          </w:p>
          <w:p w:rsidR="000F1D82" w:rsidRPr="00FC4B8A" w:rsidRDefault="000F1D82" w:rsidP="00833690">
            <w:pPr>
              <w:rPr>
                <w:rFonts w:ascii="Arial" w:hAnsi="Arial" w:cs="Arial"/>
                <w:sz w:val="24"/>
                <w:szCs w:val="24"/>
              </w:rPr>
            </w:pPr>
          </w:p>
          <w:p w:rsidR="000F1D82" w:rsidRPr="00FC4B8A" w:rsidRDefault="000F1D82" w:rsidP="00833690">
            <w:pPr>
              <w:rPr>
                <w:rFonts w:ascii="Arial" w:hAnsi="Arial" w:cs="Arial"/>
                <w:sz w:val="24"/>
                <w:szCs w:val="24"/>
              </w:rPr>
            </w:pPr>
          </w:p>
          <w:p w:rsidR="000F1D82" w:rsidRPr="00FC4B8A" w:rsidRDefault="000F1D82" w:rsidP="00833690">
            <w:pPr>
              <w:rPr>
                <w:rFonts w:ascii="Arial" w:hAnsi="Arial" w:cs="Arial"/>
                <w:sz w:val="24"/>
                <w:szCs w:val="24"/>
              </w:rPr>
            </w:pPr>
          </w:p>
        </w:tc>
      </w:tr>
      <w:tr w:rsidR="000F1D82" w:rsidTr="00833690">
        <w:tc>
          <w:tcPr>
            <w:tcW w:w="4621" w:type="dxa"/>
          </w:tcPr>
          <w:p w:rsidR="000F1D82" w:rsidRPr="00BE14BB" w:rsidRDefault="000F1D82" w:rsidP="00C97475">
            <w:pPr>
              <w:rPr>
                <w:rFonts w:ascii="Arial" w:hAnsi="Arial" w:cs="Arial"/>
                <w:sz w:val="24"/>
                <w:szCs w:val="24"/>
              </w:rPr>
            </w:pPr>
            <w:r w:rsidRPr="00BE14BB">
              <w:rPr>
                <w:rFonts w:ascii="Arial" w:hAnsi="Arial" w:cs="Arial"/>
                <w:sz w:val="24"/>
                <w:szCs w:val="24"/>
              </w:rPr>
              <w:t>Patient wellbeing is particularly sensitive to care provided by a nurse</w:t>
            </w:r>
          </w:p>
          <w:p w:rsidR="000F1D82" w:rsidRDefault="000F1D82" w:rsidP="00833690"/>
        </w:tc>
        <w:tc>
          <w:tcPr>
            <w:tcW w:w="4621" w:type="dxa"/>
          </w:tcPr>
          <w:p w:rsidR="00A20F7B" w:rsidRDefault="00A20F7B" w:rsidP="00833690">
            <w:pPr>
              <w:rPr>
                <w:rFonts w:ascii="Arial" w:hAnsi="Arial" w:cs="Arial"/>
                <w:sz w:val="24"/>
                <w:szCs w:val="24"/>
              </w:rPr>
            </w:pPr>
            <w:r>
              <w:rPr>
                <w:rFonts w:ascii="Arial" w:hAnsi="Arial" w:cs="Arial"/>
                <w:sz w:val="24"/>
                <w:szCs w:val="24"/>
              </w:rPr>
              <w:t>It would be useful at point 36 to include a list of example such as dementia, mental health issues, complex diabetic needs, learning disabilities etc.</w:t>
            </w:r>
          </w:p>
          <w:p w:rsidR="005C45E6" w:rsidRDefault="005C45E6" w:rsidP="00833690">
            <w:pPr>
              <w:rPr>
                <w:rFonts w:ascii="Arial" w:hAnsi="Arial" w:cs="Arial"/>
                <w:sz w:val="24"/>
                <w:szCs w:val="24"/>
              </w:rPr>
            </w:pPr>
          </w:p>
          <w:p w:rsidR="00883446" w:rsidRDefault="005C45E6" w:rsidP="00883446">
            <w:pPr>
              <w:rPr>
                <w:rFonts w:ascii="Arial" w:hAnsi="Arial" w:cs="Arial"/>
                <w:i/>
                <w:sz w:val="24"/>
                <w:szCs w:val="24"/>
              </w:rPr>
            </w:pPr>
            <w:r>
              <w:rPr>
                <w:rFonts w:ascii="Arial" w:hAnsi="Arial" w:cs="Arial"/>
                <w:sz w:val="24"/>
                <w:szCs w:val="24"/>
              </w:rPr>
              <w:t>The NICE guidance on safe staffing for nursing in adult inpatient wards in acute hospitals recommends that factors</w:t>
            </w:r>
            <w:r w:rsidR="00883446">
              <w:rPr>
                <w:rFonts w:ascii="Arial" w:hAnsi="Arial" w:cs="Arial"/>
                <w:sz w:val="24"/>
                <w:szCs w:val="24"/>
              </w:rPr>
              <w:t xml:space="preserve"> to determine nurse staffing requirements  include a </w:t>
            </w:r>
            <w:r w:rsidR="00883446" w:rsidRPr="00E132F6">
              <w:rPr>
                <w:rFonts w:ascii="Arial" w:hAnsi="Arial" w:cs="Arial"/>
                <w:sz w:val="24"/>
                <w:szCs w:val="24"/>
              </w:rPr>
              <w:t>need for a:</w:t>
            </w:r>
          </w:p>
          <w:p w:rsidR="00883446" w:rsidRDefault="00883446" w:rsidP="00883446">
            <w:pPr>
              <w:rPr>
                <w:rFonts w:ascii="Arial" w:hAnsi="Arial" w:cs="Arial"/>
                <w:i/>
                <w:sz w:val="24"/>
                <w:szCs w:val="24"/>
              </w:rPr>
            </w:pPr>
          </w:p>
          <w:p w:rsidR="00883446" w:rsidRPr="00883446" w:rsidRDefault="00883446" w:rsidP="00883446">
            <w:pPr>
              <w:rPr>
                <w:rFonts w:ascii="Arial" w:hAnsi="Arial" w:cs="Arial"/>
                <w:i/>
                <w:sz w:val="24"/>
                <w:szCs w:val="24"/>
              </w:rPr>
            </w:pPr>
            <w:r w:rsidRPr="00883446">
              <w:rPr>
                <w:rFonts w:ascii="Arial" w:hAnsi="Arial" w:cs="Arial"/>
                <w:i/>
                <w:sz w:val="24"/>
                <w:szCs w:val="24"/>
              </w:rPr>
              <w:lastRenderedPageBreak/>
              <w:t xml:space="preserve"> “holistic assessment of each patient's nursing needs and take account of specific nursing requirements and disabilities, as well as other patient factors that may increase nursing staff requirements, such as:</w:t>
            </w:r>
          </w:p>
          <w:p w:rsidR="00883446" w:rsidRPr="00883446" w:rsidRDefault="00883446" w:rsidP="00883446">
            <w:pPr>
              <w:pStyle w:val="ListParagraph"/>
              <w:numPr>
                <w:ilvl w:val="0"/>
                <w:numId w:val="27"/>
              </w:numPr>
              <w:rPr>
                <w:rFonts w:ascii="Arial" w:hAnsi="Arial" w:cs="Arial"/>
                <w:i/>
                <w:sz w:val="24"/>
                <w:szCs w:val="24"/>
              </w:rPr>
            </w:pPr>
            <w:r w:rsidRPr="00883446">
              <w:rPr>
                <w:rFonts w:ascii="Arial" w:hAnsi="Arial" w:cs="Arial"/>
                <w:i/>
                <w:sz w:val="24"/>
                <w:szCs w:val="24"/>
              </w:rPr>
              <w:t>difficulties with cognition or confusion (such as those associated with learning difficulties, mental health problems or dementia)</w:t>
            </w:r>
          </w:p>
          <w:p w:rsidR="00883446" w:rsidRPr="00883446" w:rsidRDefault="00883446" w:rsidP="00883446">
            <w:pPr>
              <w:pStyle w:val="ListParagraph"/>
              <w:numPr>
                <w:ilvl w:val="0"/>
                <w:numId w:val="27"/>
              </w:numPr>
              <w:rPr>
                <w:rFonts w:ascii="Arial" w:hAnsi="Arial" w:cs="Arial"/>
                <w:i/>
                <w:sz w:val="24"/>
                <w:szCs w:val="24"/>
              </w:rPr>
            </w:pPr>
            <w:r w:rsidRPr="00883446">
              <w:rPr>
                <w:rFonts w:ascii="Arial" w:hAnsi="Arial" w:cs="Arial"/>
                <w:i/>
                <w:sz w:val="24"/>
                <w:szCs w:val="24"/>
              </w:rPr>
              <w:t>end-of-life care</w:t>
            </w:r>
          </w:p>
          <w:p w:rsidR="00883446" w:rsidRPr="00883446" w:rsidRDefault="00883446" w:rsidP="00883446">
            <w:pPr>
              <w:pStyle w:val="ListParagraph"/>
              <w:numPr>
                <w:ilvl w:val="0"/>
                <w:numId w:val="27"/>
              </w:numPr>
              <w:rPr>
                <w:rFonts w:ascii="Arial" w:hAnsi="Arial" w:cs="Arial"/>
                <w:i/>
                <w:sz w:val="24"/>
                <w:szCs w:val="24"/>
              </w:rPr>
            </w:pPr>
            <w:r w:rsidRPr="00883446">
              <w:rPr>
                <w:rFonts w:ascii="Arial" w:hAnsi="Arial" w:cs="Arial"/>
                <w:i/>
                <w:sz w:val="24"/>
                <w:szCs w:val="24"/>
              </w:rPr>
              <w:t>increased risk of clinical deterioration</w:t>
            </w:r>
          </w:p>
          <w:p w:rsidR="00883446" w:rsidRPr="00883446" w:rsidRDefault="00883446" w:rsidP="00883446">
            <w:pPr>
              <w:pStyle w:val="ListParagraph"/>
              <w:numPr>
                <w:ilvl w:val="0"/>
                <w:numId w:val="27"/>
              </w:numPr>
              <w:rPr>
                <w:rFonts w:ascii="Arial" w:hAnsi="Arial" w:cs="Arial"/>
                <w:i/>
                <w:sz w:val="24"/>
                <w:szCs w:val="24"/>
              </w:rPr>
            </w:pPr>
            <w:r w:rsidRPr="00883446">
              <w:rPr>
                <w:rFonts w:ascii="Arial" w:hAnsi="Arial" w:cs="Arial"/>
                <w:i/>
                <w:sz w:val="24"/>
                <w:szCs w:val="24"/>
              </w:rPr>
              <w:t>need for the continuous presence of a member of the nursing team (often referred to as 'specialing' care).</w:t>
            </w:r>
            <w:r>
              <w:rPr>
                <w:rFonts w:ascii="Arial" w:hAnsi="Arial" w:cs="Arial"/>
                <w:i/>
                <w:sz w:val="24"/>
                <w:szCs w:val="24"/>
              </w:rPr>
              <w:t>”</w:t>
            </w:r>
          </w:p>
          <w:p w:rsidR="005C45E6" w:rsidRPr="00883446" w:rsidRDefault="005C45E6" w:rsidP="00833690">
            <w:pPr>
              <w:rPr>
                <w:rFonts w:ascii="Arial" w:hAnsi="Arial" w:cs="Arial"/>
                <w:i/>
                <w:sz w:val="24"/>
                <w:szCs w:val="24"/>
              </w:rPr>
            </w:pPr>
          </w:p>
          <w:p w:rsidR="000F1D82" w:rsidRPr="00FC4B8A" w:rsidRDefault="00883446" w:rsidP="00833690">
            <w:pPr>
              <w:rPr>
                <w:rFonts w:ascii="Arial" w:hAnsi="Arial" w:cs="Arial"/>
                <w:sz w:val="24"/>
                <w:szCs w:val="24"/>
              </w:rPr>
            </w:pPr>
            <w:r>
              <w:rPr>
                <w:rFonts w:ascii="Arial" w:hAnsi="Arial" w:cs="Arial"/>
                <w:sz w:val="24"/>
                <w:szCs w:val="24"/>
              </w:rPr>
              <w:t xml:space="preserve">We would recommend that the statutory guidance includes </w:t>
            </w:r>
            <w:r w:rsidR="00E132F6">
              <w:rPr>
                <w:rFonts w:ascii="Arial" w:hAnsi="Arial" w:cs="Arial"/>
                <w:sz w:val="24"/>
                <w:szCs w:val="24"/>
              </w:rPr>
              <w:t>a specification of requirements such as this.</w:t>
            </w:r>
          </w:p>
          <w:p w:rsidR="000F1D82" w:rsidRDefault="000F1D82" w:rsidP="00833690">
            <w:pPr>
              <w:rPr>
                <w:rFonts w:ascii="Arial" w:hAnsi="Arial" w:cs="Arial"/>
                <w:sz w:val="24"/>
                <w:szCs w:val="24"/>
              </w:rPr>
            </w:pPr>
          </w:p>
          <w:p w:rsidR="00A9668B" w:rsidRDefault="00A9668B" w:rsidP="00833690">
            <w:pPr>
              <w:rPr>
                <w:rFonts w:ascii="Arial" w:hAnsi="Arial" w:cs="Arial"/>
                <w:sz w:val="24"/>
                <w:szCs w:val="24"/>
              </w:rPr>
            </w:pPr>
          </w:p>
          <w:p w:rsidR="00A9668B" w:rsidRPr="00FC4B8A" w:rsidRDefault="00A9668B" w:rsidP="00833690">
            <w:pPr>
              <w:rPr>
                <w:rFonts w:ascii="Arial" w:hAnsi="Arial" w:cs="Arial"/>
                <w:sz w:val="24"/>
                <w:szCs w:val="24"/>
              </w:rPr>
            </w:pPr>
          </w:p>
          <w:p w:rsidR="000F1D82" w:rsidRPr="00FC4B8A" w:rsidRDefault="000F1D82" w:rsidP="00833690">
            <w:pPr>
              <w:rPr>
                <w:rFonts w:ascii="Arial" w:hAnsi="Arial" w:cs="Arial"/>
                <w:sz w:val="24"/>
                <w:szCs w:val="24"/>
              </w:rPr>
            </w:pPr>
          </w:p>
        </w:tc>
      </w:tr>
    </w:tbl>
    <w:p w:rsidR="00A20F7B" w:rsidRDefault="00A20F7B" w:rsidP="007D7D82">
      <w:pPr>
        <w:rPr>
          <w:rFonts w:ascii="Arial" w:hAnsi="Arial"/>
          <w:b/>
        </w:rPr>
      </w:pPr>
    </w:p>
    <w:p w:rsidR="00BE14BB" w:rsidRDefault="00BE14BB" w:rsidP="007D7D82">
      <w:pPr>
        <w:rPr>
          <w:rFonts w:ascii="Arial" w:hAnsi="Arial"/>
          <w:b/>
        </w:rPr>
      </w:pPr>
    </w:p>
    <w:tbl>
      <w:tblPr>
        <w:tblStyle w:val="TableGrid"/>
        <w:tblW w:w="0" w:type="auto"/>
        <w:tblInd w:w="0" w:type="dxa"/>
        <w:tblLook w:val="04A0" w:firstRow="1" w:lastRow="0" w:firstColumn="1" w:lastColumn="0" w:noHBand="0" w:noVBand="1"/>
      </w:tblPr>
      <w:tblGrid>
        <w:gridCol w:w="9242"/>
      </w:tblGrid>
      <w:tr w:rsidR="00381E7D" w:rsidTr="0043537D">
        <w:tc>
          <w:tcPr>
            <w:tcW w:w="9242" w:type="dxa"/>
            <w:shd w:val="clear" w:color="auto" w:fill="A6A6A6" w:themeFill="background1" w:themeFillShade="A6"/>
          </w:tcPr>
          <w:p w:rsidR="0022211C" w:rsidRDefault="0022211C" w:rsidP="004F3ADF">
            <w:pPr>
              <w:pStyle w:val="ListParagraph"/>
              <w:numPr>
                <w:ilvl w:val="0"/>
                <w:numId w:val="13"/>
              </w:numPr>
              <w:rPr>
                <w:rFonts w:ascii="Arial" w:eastAsiaTheme="minorEastAsia" w:hAnsi="Arial" w:cs="Arial"/>
                <w:b/>
                <w:sz w:val="24"/>
                <w:szCs w:val="24"/>
                <w:lang w:eastAsia="en-US"/>
              </w:rPr>
            </w:pPr>
            <w:r>
              <w:rPr>
                <w:rFonts w:ascii="Arial" w:eastAsiaTheme="minorEastAsia" w:hAnsi="Arial" w:cs="Arial"/>
                <w:b/>
                <w:sz w:val="24"/>
                <w:szCs w:val="24"/>
                <w:lang w:eastAsia="en-US"/>
              </w:rPr>
              <w:t xml:space="preserve"> </w:t>
            </w:r>
            <w:r w:rsidRPr="00B92ED9">
              <w:rPr>
                <w:rFonts w:ascii="Arial" w:eastAsiaTheme="minorEastAsia" w:hAnsi="Arial" w:cs="Arial"/>
                <w:b/>
                <w:sz w:val="24"/>
                <w:szCs w:val="24"/>
                <w:lang w:eastAsia="en-US"/>
              </w:rPr>
              <w:t xml:space="preserve">We would like to know your views on the effects that </w:t>
            </w:r>
            <w:r>
              <w:rPr>
                <w:rFonts w:ascii="Arial" w:eastAsiaTheme="minorEastAsia" w:hAnsi="Arial" w:cs="Arial"/>
                <w:b/>
                <w:sz w:val="24"/>
                <w:szCs w:val="24"/>
                <w:lang w:eastAsia="en-US"/>
              </w:rPr>
              <w:t xml:space="preserve">the guidance </w:t>
            </w:r>
            <w:r w:rsidRPr="00B92ED9">
              <w:rPr>
                <w:rFonts w:ascii="Arial" w:eastAsiaTheme="minorEastAsia" w:hAnsi="Arial" w:cs="Arial"/>
                <w:b/>
                <w:sz w:val="24"/>
                <w:szCs w:val="24"/>
                <w:lang w:eastAsia="en-US"/>
              </w:rPr>
              <w:t>would have on t</w:t>
            </w:r>
            <w:r>
              <w:rPr>
                <w:rFonts w:ascii="Arial" w:eastAsiaTheme="minorEastAsia" w:hAnsi="Arial" w:cs="Arial"/>
                <w:b/>
                <w:sz w:val="24"/>
                <w:szCs w:val="24"/>
                <w:lang w:eastAsia="en-US"/>
              </w:rPr>
              <w:t>he Welsh language, specifically on:</w:t>
            </w:r>
          </w:p>
          <w:p w:rsidR="0022211C" w:rsidRPr="00B92ED9" w:rsidRDefault="0022211C" w:rsidP="0022211C">
            <w:pPr>
              <w:pStyle w:val="ListParagraph"/>
              <w:rPr>
                <w:rFonts w:ascii="Arial" w:eastAsiaTheme="minorEastAsia" w:hAnsi="Arial" w:cs="Arial"/>
                <w:b/>
                <w:sz w:val="24"/>
                <w:szCs w:val="24"/>
                <w:lang w:eastAsia="en-US"/>
              </w:rPr>
            </w:pPr>
          </w:p>
          <w:p w:rsidR="0022211C" w:rsidRPr="00B92ED9" w:rsidRDefault="0022211C" w:rsidP="0022211C">
            <w:pPr>
              <w:pStyle w:val="ListParagraph"/>
              <w:widowControl w:val="0"/>
              <w:numPr>
                <w:ilvl w:val="0"/>
                <w:numId w:val="24"/>
              </w:numPr>
              <w:rPr>
                <w:rFonts w:ascii="Arial" w:eastAsiaTheme="minorEastAsia" w:hAnsi="Arial" w:cs="Arial"/>
                <w:b/>
                <w:sz w:val="24"/>
                <w:szCs w:val="24"/>
                <w:lang w:eastAsia="en-US"/>
              </w:rPr>
            </w:pPr>
            <w:r w:rsidRPr="00B92ED9">
              <w:rPr>
                <w:rFonts w:ascii="Arial" w:eastAsiaTheme="minorEastAsia" w:hAnsi="Arial" w:cs="Arial"/>
                <w:b/>
                <w:sz w:val="24"/>
                <w:szCs w:val="24"/>
                <w:lang w:eastAsia="en-US"/>
              </w:rPr>
              <w:t>opportunities for people to use Welsh</w:t>
            </w:r>
            <w:r>
              <w:rPr>
                <w:rFonts w:ascii="Arial" w:eastAsiaTheme="minorEastAsia" w:hAnsi="Arial" w:cs="Arial"/>
                <w:b/>
                <w:sz w:val="24"/>
                <w:szCs w:val="24"/>
                <w:lang w:eastAsia="en-US"/>
              </w:rPr>
              <w:t>;</w:t>
            </w:r>
            <w:r w:rsidRPr="00B92ED9">
              <w:rPr>
                <w:rFonts w:ascii="Arial" w:eastAsiaTheme="minorEastAsia" w:hAnsi="Arial" w:cs="Arial"/>
                <w:b/>
                <w:sz w:val="24"/>
                <w:szCs w:val="24"/>
                <w:lang w:eastAsia="en-US"/>
              </w:rPr>
              <w:t xml:space="preserve"> and</w:t>
            </w:r>
          </w:p>
          <w:p w:rsidR="0022211C" w:rsidRPr="00B92ED9" w:rsidRDefault="0022211C" w:rsidP="0022211C">
            <w:pPr>
              <w:pStyle w:val="ListParagraph"/>
              <w:widowControl w:val="0"/>
              <w:numPr>
                <w:ilvl w:val="0"/>
                <w:numId w:val="24"/>
              </w:numPr>
              <w:rPr>
                <w:rFonts w:ascii="Arial" w:eastAsiaTheme="minorEastAsia" w:hAnsi="Arial" w:cs="Arial"/>
                <w:b/>
                <w:sz w:val="24"/>
                <w:szCs w:val="24"/>
                <w:lang w:eastAsia="en-US"/>
              </w:rPr>
            </w:pPr>
            <w:r w:rsidRPr="00B92ED9">
              <w:rPr>
                <w:rFonts w:ascii="Arial" w:eastAsiaTheme="minorEastAsia" w:hAnsi="Arial" w:cs="Arial"/>
                <w:b/>
                <w:sz w:val="24"/>
                <w:szCs w:val="24"/>
                <w:lang w:eastAsia="en-US"/>
              </w:rPr>
              <w:t xml:space="preserve">treating the Welsh language no less favourably than English.  </w:t>
            </w:r>
          </w:p>
          <w:p w:rsidR="0022211C" w:rsidRPr="00B92ED9" w:rsidRDefault="0022211C" w:rsidP="0022211C">
            <w:pPr>
              <w:rPr>
                <w:rFonts w:ascii="Arial" w:eastAsiaTheme="minorEastAsia" w:hAnsi="Arial" w:cs="Arial"/>
                <w:b/>
                <w:sz w:val="24"/>
                <w:szCs w:val="24"/>
                <w:lang w:eastAsia="en-US"/>
              </w:rPr>
            </w:pPr>
          </w:p>
          <w:p w:rsidR="00381E7D" w:rsidRPr="00376F76" w:rsidRDefault="00381E7D" w:rsidP="0043537D">
            <w:pPr>
              <w:ind w:left="360"/>
            </w:pPr>
          </w:p>
        </w:tc>
      </w:tr>
      <w:tr w:rsidR="00381E7D" w:rsidTr="0043537D">
        <w:trPr>
          <w:trHeight w:val="1884"/>
        </w:trPr>
        <w:tc>
          <w:tcPr>
            <w:tcW w:w="9242" w:type="dxa"/>
            <w:shd w:val="clear" w:color="auto" w:fill="auto"/>
          </w:tcPr>
          <w:p w:rsidR="00A20F7B" w:rsidRDefault="00A20F7B" w:rsidP="00A20F7B">
            <w:pPr>
              <w:rPr>
                <w:rFonts w:ascii="Arial" w:hAnsi="Arial" w:cs="Arial"/>
                <w:sz w:val="24"/>
                <w:szCs w:val="24"/>
              </w:rPr>
            </w:pPr>
            <w:r>
              <w:rPr>
                <w:rFonts w:ascii="Arial" w:hAnsi="Arial" w:cs="Arial"/>
                <w:sz w:val="24"/>
                <w:szCs w:val="24"/>
              </w:rPr>
              <w:t xml:space="preserve">Given the current Welsh language strategy </w:t>
            </w:r>
            <w:r w:rsidRPr="005A78CF">
              <w:rPr>
                <w:rFonts w:ascii="Arial" w:hAnsi="Arial" w:cs="Arial"/>
                <w:sz w:val="24"/>
                <w:szCs w:val="24"/>
              </w:rPr>
              <w:t xml:space="preserve">More Than Just Words and the context of the forthcoming NHS Wales Standards, </w:t>
            </w:r>
            <w:r>
              <w:rPr>
                <w:rFonts w:ascii="Arial" w:hAnsi="Arial" w:cs="Arial"/>
                <w:sz w:val="24"/>
                <w:szCs w:val="24"/>
              </w:rPr>
              <w:t xml:space="preserve">it is surprising that the Welsh Language is given no specific reference, apart from in relation to Informing Patients. We welcome that the guidance states that consideration must be given to supporting patients and families whose first language is not English or Welsh, and yet this makes even shows even more starkly the fact that the needs of Welsh language speakers have been completely omitted. </w:t>
            </w:r>
          </w:p>
          <w:p w:rsidR="00A20F7B" w:rsidRPr="00F77D88" w:rsidRDefault="00A20F7B" w:rsidP="0043537D">
            <w:pPr>
              <w:rPr>
                <w:rFonts w:ascii="Arial" w:hAnsi="Arial" w:cs="Arial"/>
                <w:b/>
              </w:rPr>
            </w:pPr>
          </w:p>
        </w:tc>
      </w:tr>
    </w:tbl>
    <w:p w:rsidR="006C5C56" w:rsidRDefault="006C5C56" w:rsidP="007D7D82">
      <w:pPr>
        <w:rPr>
          <w:rFonts w:ascii="Arial" w:hAnsi="Arial"/>
          <w:b/>
        </w:rPr>
      </w:pPr>
    </w:p>
    <w:tbl>
      <w:tblPr>
        <w:tblStyle w:val="TableGrid"/>
        <w:tblW w:w="0" w:type="auto"/>
        <w:tblInd w:w="0" w:type="dxa"/>
        <w:tblLook w:val="04A0" w:firstRow="1" w:lastRow="0" w:firstColumn="1" w:lastColumn="0" w:noHBand="0" w:noVBand="1"/>
      </w:tblPr>
      <w:tblGrid>
        <w:gridCol w:w="9242"/>
      </w:tblGrid>
      <w:tr w:rsidR="0022211C" w:rsidTr="00CB2C01">
        <w:tc>
          <w:tcPr>
            <w:tcW w:w="9242" w:type="dxa"/>
            <w:shd w:val="clear" w:color="auto" w:fill="A6A6A6" w:themeFill="background1" w:themeFillShade="A6"/>
          </w:tcPr>
          <w:p w:rsidR="0022211C" w:rsidRDefault="0022211C" w:rsidP="004F3ADF">
            <w:pPr>
              <w:pStyle w:val="ListParagraph"/>
              <w:numPr>
                <w:ilvl w:val="0"/>
                <w:numId w:val="13"/>
              </w:numPr>
              <w:rPr>
                <w:rFonts w:ascii="Arial" w:eastAsiaTheme="minorEastAsia" w:hAnsi="Arial" w:cs="Arial"/>
                <w:b/>
                <w:sz w:val="24"/>
                <w:szCs w:val="24"/>
                <w:lang w:eastAsia="en-US"/>
              </w:rPr>
            </w:pPr>
            <w:r w:rsidRPr="00B92ED9">
              <w:rPr>
                <w:rFonts w:ascii="Arial" w:eastAsiaTheme="minorEastAsia" w:hAnsi="Arial" w:cs="Arial"/>
                <w:b/>
                <w:sz w:val="24"/>
                <w:szCs w:val="24"/>
                <w:lang w:eastAsia="en-US"/>
              </w:rPr>
              <w:t xml:space="preserve">Please also explain how you believe the </w:t>
            </w:r>
            <w:r>
              <w:rPr>
                <w:rFonts w:ascii="Arial" w:eastAsiaTheme="minorEastAsia" w:hAnsi="Arial" w:cs="Arial"/>
                <w:b/>
                <w:sz w:val="24"/>
                <w:szCs w:val="24"/>
                <w:lang w:eastAsia="en-US"/>
              </w:rPr>
              <w:t>guidance</w:t>
            </w:r>
            <w:r w:rsidRPr="00B92ED9">
              <w:rPr>
                <w:rFonts w:ascii="Arial" w:eastAsiaTheme="minorEastAsia" w:hAnsi="Arial" w:cs="Arial"/>
                <w:b/>
                <w:sz w:val="24"/>
                <w:szCs w:val="24"/>
                <w:lang w:eastAsia="en-US"/>
              </w:rPr>
              <w:t xml:space="preserve"> could be form</w:t>
            </w:r>
            <w:r>
              <w:rPr>
                <w:rFonts w:ascii="Arial" w:eastAsiaTheme="minorEastAsia" w:hAnsi="Arial" w:cs="Arial"/>
                <w:b/>
                <w:sz w:val="24"/>
                <w:szCs w:val="24"/>
                <w:lang w:eastAsia="en-US"/>
              </w:rPr>
              <w:t>ulated or changed so as to have:</w:t>
            </w:r>
          </w:p>
          <w:p w:rsidR="0022211C" w:rsidRPr="00B92ED9" w:rsidRDefault="0022211C" w:rsidP="0022211C">
            <w:pPr>
              <w:pStyle w:val="ListParagraph"/>
              <w:rPr>
                <w:rFonts w:ascii="Arial" w:eastAsiaTheme="minorEastAsia" w:hAnsi="Arial" w:cs="Arial"/>
                <w:b/>
                <w:sz w:val="24"/>
                <w:szCs w:val="24"/>
                <w:lang w:eastAsia="en-US"/>
              </w:rPr>
            </w:pPr>
          </w:p>
          <w:p w:rsidR="0022211C" w:rsidRPr="00B92ED9" w:rsidRDefault="0022211C" w:rsidP="0022211C">
            <w:pPr>
              <w:pStyle w:val="ListParagraph"/>
              <w:numPr>
                <w:ilvl w:val="0"/>
                <w:numId w:val="25"/>
              </w:numPr>
              <w:rPr>
                <w:rFonts w:ascii="Arial" w:eastAsiaTheme="minorEastAsia" w:hAnsi="Arial" w:cs="Arial"/>
                <w:b/>
                <w:sz w:val="24"/>
                <w:szCs w:val="24"/>
                <w:lang w:eastAsia="en-US"/>
              </w:rPr>
            </w:pPr>
            <w:r w:rsidRPr="00B92ED9">
              <w:rPr>
                <w:rFonts w:ascii="Arial" w:eastAsiaTheme="minorEastAsia" w:hAnsi="Arial" w:cs="Arial"/>
                <w:b/>
                <w:sz w:val="24"/>
                <w:szCs w:val="24"/>
                <w:lang w:eastAsia="en-US"/>
              </w:rPr>
              <w:t>positive effects or increased positive effects on opportunities for people to use the Welsh language and on treating the Welsh language no less favourably than the E</w:t>
            </w:r>
            <w:r>
              <w:rPr>
                <w:rFonts w:ascii="Arial" w:eastAsiaTheme="minorEastAsia" w:hAnsi="Arial" w:cs="Arial"/>
                <w:b/>
                <w:sz w:val="24"/>
                <w:szCs w:val="24"/>
                <w:lang w:eastAsia="en-US"/>
              </w:rPr>
              <w:t>nglish language;</w:t>
            </w:r>
            <w:r w:rsidRPr="00B92ED9">
              <w:rPr>
                <w:rFonts w:ascii="Arial" w:eastAsiaTheme="minorEastAsia" w:hAnsi="Arial" w:cs="Arial"/>
                <w:b/>
                <w:sz w:val="24"/>
                <w:szCs w:val="24"/>
                <w:lang w:eastAsia="en-US"/>
              </w:rPr>
              <w:t xml:space="preserve"> and </w:t>
            </w:r>
          </w:p>
          <w:p w:rsidR="0022211C" w:rsidRPr="00B92ED9" w:rsidRDefault="0022211C" w:rsidP="0022211C">
            <w:pPr>
              <w:pStyle w:val="ListParagraph"/>
              <w:numPr>
                <w:ilvl w:val="0"/>
                <w:numId w:val="25"/>
              </w:numPr>
              <w:rPr>
                <w:rFonts w:ascii="Arial" w:eastAsiaTheme="minorEastAsia" w:hAnsi="Arial" w:cs="Arial"/>
                <w:b/>
                <w:sz w:val="24"/>
                <w:szCs w:val="24"/>
                <w:lang w:eastAsia="en-US"/>
              </w:rPr>
            </w:pPr>
            <w:r w:rsidRPr="00B92ED9">
              <w:rPr>
                <w:rFonts w:ascii="Arial" w:eastAsiaTheme="minorEastAsia" w:hAnsi="Arial" w:cs="Arial"/>
                <w:b/>
                <w:sz w:val="24"/>
                <w:szCs w:val="24"/>
                <w:lang w:eastAsia="en-US"/>
              </w:rPr>
              <w:lastRenderedPageBreak/>
              <w:t xml:space="preserve">no adverse effects on opportunities for people to use the Welsh language and on treating the Welsh language no less favourably than the English language.  </w:t>
            </w:r>
          </w:p>
          <w:p w:rsidR="0022211C" w:rsidRPr="00B92ED9" w:rsidRDefault="0022211C" w:rsidP="00CB2C01">
            <w:pPr>
              <w:rPr>
                <w:rFonts w:ascii="Arial" w:eastAsiaTheme="minorEastAsia" w:hAnsi="Arial" w:cs="Arial"/>
                <w:b/>
                <w:sz w:val="24"/>
                <w:szCs w:val="24"/>
                <w:lang w:eastAsia="en-US"/>
              </w:rPr>
            </w:pPr>
          </w:p>
          <w:p w:rsidR="0022211C" w:rsidRPr="00376F76" w:rsidRDefault="0022211C" w:rsidP="00CB2C01">
            <w:pPr>
              <w:ind w:left="360"/>
            </w:pPr>
          </w:p>
        </w:tc>
      </w:tr>
      <w:tr w:rsidR="0022211C" w:rsidRPr="00C01D4C" w:rsidTr="00CB2C01">
        <w:trPr>
          <w:trHeight w:val="1884"/>
        </w:trPr>
        <w:tc>
          <w:tcPr>
            <w:tcW w:w="9242" w:type="dxa"/>
            <w:shd w:val="clear" w:color="auto" w:fill="auto"/>
          </w:tcPr>
          <w:p w:rsidR="007054B4" w:rsidRPr="00C01D4C" w:rsidRDefault="007054B4" w:rsidP="00CB2C01">
            <w:pPr>
              <w:rPr>
                <w:rFonts w:ascii="Arial" w:hAnsi="Arial" w:cs="Arial"/>
                <w:sz w:val="24"/>
                <w:szCs w:val="24"/>
              </w:rPr>
            </w:pPr>
          </w:p>
          <w:p w:rsidR="007054B4" w:rsidRPr="00C01D4C" w:rsidRDefault="00DB385A" w:rsidP="00CB2C01">
            <w:pPr>
              <w:rPr>
                <w:rFonts w:ascii="Arial" w:hAnsi="Arial" w:cs="Arial"/>
                <w:sz w:val="24"/>
                <w:szCs w:val="24"/>
              </w:rPr>
            </w:pPr>
            <w:r>
              <w:rPr>
                <w:rFonts w:ascii="Arial" w:hAnsi="Arial" w:cs="Arial"/>
                <w:sz w:val="24"/>
                <w:szCs w:val="24"/>
              </w:rPr>
              <w:t>In addition to the bullet point under point 27 relat</w:t>
            </w:r>
            <w:r w:rsidR="009536CC">
              <w:rPr>
                <w:rFonts w:ascii="Arial" w:hAnsi="Arial" w:cs="Arial"/>
                <w:sz w:val="24"/>
                <w:szCs w:val="24"/>
              </w:rPr>
              <w:t xml:space="preserve">ing to the Welsh language, the Welsh Government strategy More than Words states there </w:t>
            </w:r>
            <w:r>
              <w:rPr>
                <w:rFonts w:ascii="Arial" w:hAnsi="Arial" w:cs="Arial"/>
                <w:sz w:val="24"/>
                <w:szCs w:val="24"/>
              </w:rPr>
              <w:t xml:space="preserve">must be an “active offer” of services available in the Welsh language. This must be made to all patients. </w:t>
            </w:r>
            <w:r w:rsidR="009536CC">
              <w:rPr>
                <w:rFonts w:ascii="Arial" w:hAnsi="Arial" w:cs="Arial"/>
                <w:sz w:val="24"/>
                <w:szCs w:val="24"/>
              </w:rPr>
              <w:t xml:space="preserve">Moreover the guidance should be compatible with the forthcoming NHS Welsh Language Standards. </w:t>
            </w:r>
            <w:r>
              <w:rPr>
                <w:rFonts w:ascii="Arial" w:hAnsi="Arial" w:cs="Arial"/>
                <w:sz w:val="24"/>
                <w:szCs w:val="24"/>
              </w:rPr>
              <w:t xml:space="preserve">Therefore, the </w:t>
            </w:r>
            <w:r w:rsidR="009536CC">
              <w:rPr>
                <w:rFonts w:ascii="Arial" w:hAnsi="Arial" w:cs="Arial"/>
                <w:sz w:val="24"/>
                <w:szCs w:val="24"/>
              </w:rPr>
              <w:t xml:space="preserve">guidance should state that </w:t>
            </w:r>
            <w:r>
              <w:rPr>
                <w:rFonts w:ascii="Arial" w:hAnsi="Arial" w:cs="Arial"/>
                <w:sz w:val="24"/>
                <w:szCs w:val="24"/>
              </w:rPr>
              <w:t>designated person must consider the recruitment and deployment of Welsh speaking staff.</w:t>
            </w:r>
          </w:p>
          <w:p w:rsidR="0022211C" w:rsidRPr="00C01D4C" w:rsidRDefault="0022211C" w:rsidP="00CB2C01">
            <w:pPr>
              <w:rPr>
                <w:rFonts w:ascii="Arial" w:hAnsi="Arial" w:cs="Arial"/>
                <w:sz w:val="24"/>
                <w:szCs w:val="24"/>
              </w:rPr>
            </w:pPr>
          </w:p>
          <w:p w:rsidR="0022211C" w:rsidRPr="00C01D4C" w:rsidRDefault="0022211C" w:rsidP="00CB2C01">
            <w:pPr>
              <w:rPr>
                <w:rFonts w:ascii="Arial" w:hAnsi="Arial" w:cs="Arial"/>
                <w:b/>
                <w:sz w:val="24"/>
                <w:szCs w:val="24"/>
              </w:rPr>
            </w:pPr>
          </w:p>
        </w:tc>
      </w:tr>
    </w:tbl>
    <w:p w:rsidR="00A20F7B" w:rsidRPr="00C01D4C" w:rsidRDefault="00A20F7B" w:rsidP="007D7D82">
      <w:pPr>
        <w:rPr>
          <w:rFonts w:ascii="Arial" w:hAnsi="Arial" w:cs="Arial"/>
          <w:b/>
        </w:rPr>
      </w:pPr>
    </w:p>
    <w:p w:rsidR="0022211C" w:rsidRPr="00C01D4C" w:rsidRDefault="0022211C" w:rsidP="007D7D82">
      <w:pPr>
        <w:rPr>
          <w:rFonts w:ascii="Arial" w:hAnsi="Arial" w:cs="Arial"/>
          <w:b/>
        </w:rPr>
      </w:pPr>
    </w:p>
    <w:tbl>
      <w:tblPr>
        <w:tblStyle w:val="TableGrid"/>
        <w:tblW w:w="0" w:type="auto"/>
        <w:tblInd w:w="0" w:type="dxa"/>
        <w:tblLook w:val="04A0" w:firstRow="1" w:lastRow="0" w:firstColumn="1" w:lastColumn="0" w:noHBand="0" w:noVBand="1"/>
      </w:tblPr>
      <w:tblGrid>
        <w:gridCol w:w="9242"/>
      </w:tblGrid>
      <w:tr w:rsidR="005E5DD8" w:rsidRPr="00C01D4C" w:rsidTr="00833690">
        <w:tc>
          <w:tcPr>
            <w:tcW w:w="9242" w:type="dxa"/>
            <w:shd w:val="clear" w:color="auto" w:fill="A6A6A6" w:themeFill="background1" w:themeFillShade="A6"/>
          </w:tcPr>
          <w:p w:rsidR="005E5DD8" w:rsidRPr="00C01D4C" w:rsidRDefault="00B16305" w:rsidP="004F3ADF">
            <w:pPr>
              <w:pStyle w:val="ListParagraph"/>
              <w:numPr>
                <w:ilvl w:val="0"/>
                <w:numId w:val="13"/>
              </w:numPr>
              <w:rPr>
                <w:rFonts w:ascii="Arial" w:hAnsi="Arial" w:cs="Arial"/>
                <w:sz w:val="24"/>
                <w:szCs w:val="24"/>
              </w:rPr>
            </w:pPr>
            <w:r w:rsidRPr="00C01D4C">
              <w:rPr>
                <w:rFonts w:ascii="Arial" w:hAnsi="Arial" w:cs="Arial"/>
                <w:b/>
                <w:sz w:val="24"/>
                <w:szCs w:val="24"/>
              </w:rPr>
              <w:t>Would further statutory guidance on workforce planning on this specific issue be beneficial? If yes, please give details.</w:t>
            </w:r>
          </w:p>
        </w:tc>
      </w:tr>
      <w:tr w:rsidR="005E5DD8" w:rsidRPr="00C01D4C" w:rsidTr="00833690">
        <w:trPr>
          <w:trHeight w:val="1884"/>
        </w:trPr>
        <w:tc>
          <w:tcPr>
            <w:tcW w:w="9242" w:type="dxa"/>
            <w:shd w:val="clear" w:color="auto" w:fill="auto"/>
          </w:tcPr>
          <w:p w:rsidR="005E5DD8" w:rsidRPr="00C01D4C" w:rsidRDefault="005E5DD8" w:rsidP="00833690">
            <w:pPr>
              <w:rPr>
                <w:rFonts w:ascii="Arial" w:hAnsi="Arial" w:cs="Arial"/>
                <w:sz w:val="24"/>
                <w:szCs w:val="24"/>
              </w:rPr>
            </w:pPr>
          </w:p>
          <w:p w:rsidR="005E5DD8" w:rsidRDefault="00DB385A" w:rsidP="00833690">
            <w:pPr>
              <w:rPr>
                <w:rFonts w:ascii="Arial" w:hAnsi="Arial" w:cs="Arial"/>
                <w:sz w:val="24"/>
                <w:szCs w:val="24"/>
              </w:rPr>
            </w:pPr>
            <w:r>
              <w:rPr>
                <w:rFonts w:ascii="Arial" w:hAnsi="Arial" w:cs="Arial"/>
                <w:sz w:val="24"/>
                <w:szCs w:val="24"/>
              </w:rPr>
              <w:t xml:space="preserve">This question is </w:t>
            </w:r>
            <w:r w:rsidR="009536CC">
              <w:rPr>
                <w:rFonts w:ascii="Arial" w:hAnsi="Arial" w:cs="Arial"/>
                <w:sz w:val="24"/>
                <w:szCs w:val="24"/>
              </w:rPr>
              <w:t xml:space="preserve">unclear </w:t>
            </w:r>
            <w:r>
              <w:rPr>
                <w:rFonts w:ascii="Arial" w:hAnsi="Arial" w:cs="Arial"/>
                <w:sz w:val="24"/>
                <w:szCs w:val="24"/>
              </w:rPr>
              <w:t xml:space="preserve">in its meaning. </w:t>
            </w:r>
          </w:p>
          <w:p w:rsidR="00DB385A" w:rsidRDefault="00DB385A" w:rsidP="00833690">
            <w:pPr>
              <w:rPr>
                <w:rFonts w:ascii="Arial" w:hAnsi="Arial" w:cs="Arial"/>
                <w:sz w:val="24"/>
                <w:szCs w:val="24"/>
              </w:rPr>
            </w:pPr>
          </w:p>
          <w:p w:rsidR="00DB385A" w:rsidRPr="00C01D4C" w:rsidRDefault="00DB385A" w:rsidP="00833690">
            <w:pPr>
              <w:rPr>
                <w:rFonts w:ascii="Arial" w:hAnsi="Arial" w:cs="Arial"/>
                <w:sz w:val="24"/>
                <w:szCs w:val="24"/>
              </w:rPr>
            </w:pPr>
            <w:r>
              <w:rPr>
                <w:rFonts w:ascii="Arial" w:hAnsi="Arial" w:cs="Arial"/>
                <w:sz w:val="24"/>
                <w:szCs w:val="24"/>
              </w:rPr>
              <w:t xml:space="preserve">Further guidance on workforce planning would certainly be beneficial, and we would strongly advocate for additional guidance relating to the accounting and reporting mechanisms for Health Boards. </w:t>
            </w:r>
            <w:r w:rsidR="009536CC">
              <w:rPr>
                <w:rFonts w:ascii="Arial" w:hAnsi="Arial" w:cs="Arial"/>
                <w:sz w:val="24"/>
                <w:szCs w:val="24"/>
              </w:rPr>
              <w:t xml:space="preserve">The intent at the Bill stage was clear – a key enforcement of this legislation was intended to be through increased public transparency. </w:t>
            </w:r>
          </w:p>
          <w:p w:rsidR="005E5DD8" w:rsidRPr="00C01D4C" w:rsidRDefault="005E5DD8" w:rsidP="00833690">
            <w:pPr>
              <w:rPr>
                <w:rFonts w:ascii="Arial" w:hAnsi="Arial" w:cs="Arial"/>
                <w:b/>
                <w:sz w:val="24"/>
                <w:szCs w:val="24"/>
              </w:rPr>
            </w:pPr>
          </w:p>
        </w:tc>
      </w:tr>
    </w:tbl>
    <w:p w:rsidR="00BE14BB" w:rsidRPr="00C01D4C" w:rsidRDefault="00BE14BB" w:rsidP="007D7D82">
      <w:pPr>
        <w:rPr>
          <w:rFonts w:ascii="Arial" w:hAnsi="Arial" w:cs="Arial"/>
          <w:b/>
        </w:rPr>
      </w:pPr>
    </w:p>
    <w:tbl>
      <w:tblPr>
        <w:tblStyle w:val="TableGrid"/>
        <w:tblW w:w="0" w:type="auto"/>
        <w:tblInd w:w="0" w:type="dxa"/>
        <w:tblLook w:val="04A0" w:firstRow="1" w:lastRow="0" w:firstColumn="1" w:lastColumn="0" w:noHBand="0" w:noVBand="1"/>
      </w:tblPr>
      <w:tblGrid>
        <w:gridCol w:w="9242"/>
      </w:tblGrid>
      <w:tr w:rsidR="005E5DD8" w:rsidRPr="00C01D4C" w:rsidTr="00833690">
        <w:tc>
          <w:tcPr>
            <w:tcW w:w="9242" w:type="dxa"/>
            <w:shd w:val="clear" w:color="auto" w:fill="A6A6A6" w:themeFill="background1" w:themeFillShade="A6"/>
          </w:tcPr>
          <w:p w:rsidR="005E5DD8" w:rsidRPr="00C01D4C" w:rsidRDefault="00B16305" w:rsidP="004F3ADF">
            <w:pPr>
              <w:pStyle w:val="ListParagraph"/>
              <w:numPr>
                <w:ilvl w:val="0"/>
                <w:numId w:val="13"/>
              </w:numPr>
              <w:rPr>
                <w:rFonts w:ascii="Arial" w:hAnsi="Arial" w:cs="Arial"/>
                <w:b/>
                <w:sz w:val="24"/>
                <w:szCs w:val="24"/>
              </w:rPr>
            </w:pPr>
            <w:r w:rsidRPr="00C01D4C">
              <w:rPr>
                <w:rFonts w:ascii="Arial" w:hAnsi="Arial" w:cs="Arial"/>
                <w:b/>
                <w:sz w:val="24"/>
                <w:szCs w:val="24"/>
              </w:rPr>
              <w:t>What sort of information would be beneficial in any additional workforce planning guidance, that is not already in existence elsewhere?</w:t>
            </w:r>
          </w:p>
        </w:tc>
      </w:tr>
      <w:tr w:rsidR="005E5DD8" w:rsidRPr="00C01D4C" w:rsidTr="00833690">
        <w:trPr>
          <w:trHeight w:val="1884"/>
        </w:trPr>
        <w:tc>
          <w:tcPr>
            <w:tcW w:w="9242" w:type="dxa"/>
            <w:shd w:val="clear" w:color="auto" w:fill="auto"/>
          </w:tcPr>
          <w:p w:rsidR="005E5DD8" w:rsidRPr="00C01D4C" w:rsidRDefault="005E5DD8" w:rsidP="00833690">
            <w:pPr>
              <w:rPr>
                <w:rFonts w:ascii="Arial" w:hAnsi="Arial" w:cs="Arial"/>
                <w:sz w:val="24"/>
                <w:szCs w:val="24"/>
              </w:rPr>
            </w:pPr>
          </w:p>
          <w:p w:rsidR="005E5DD8" w:rsidRPr="009536CC" w:rsidRDefault="00DB385A" w:rsidP="00112AA0">
            <w:pPr>
              <w:rPr>
                <w:rFonts w:ascii="Arial" w:hAnsi="Arial" w:cs="Arial"/>
                <w:sz w:val="24"/>
                <w:szCs w:val="24"/>
              </w:rPr>
            </w:pPr>
            <w:r>
              <w:rPr>
                <w:rFonts w:ascii="Arial" w:hAnsi="Arial" w:cs="Arial"/>
                <w:sz w:val="24"/>
                <w:szCs w:val="24"/>
              </w:rPr>
              <w:t xml:space="preserve">The CNO’s principles must be incorporated explicitly in the guidance. </w:t>
            </w:r>
            <w:r w:rsidR="009536CC">
              <w:rPr>
                <w:rFonts w:ascii="Arial" w:hAnsi="Arial" w:cs="Arial"/>
                <w:sz w:val="24"/>
                <w:szCs w:val="24"/>
              </w:rPr>
              <w:t>Without this incorporation the 2012 document will undoubtedly be deemed superseded and patient care and safety will not be central to workforce</w:t>
            </w:r>
            <w:r w:rsidR="00112AA0">
              <w:rPr>
                <w:rFonts w:ascii="Arial" w:hAnsi="Arial" w:cs="Arial"/>
                <w:sz w:val="24"/>
                <w:szCs w:val="24"/>
              </w:rPr>
              <w:t xml:space="preserve"> </w:t>
            </w:r>
            <w:r w:rsidR="009536CC">
              <w:rPr>
                <w:rFonts w:ascii="Arial" w:hAnsi="Arial" w:cs="Arial"/>
                <w:sz w:val="24"/>
                <w:szCs w:val="24"/>
              </w:rPr>
              <w:t xml:space="preserve"> planning.</w:t>
            </w:r>
          </w:p>
        </w:tc>
      </w:tr>
    </w:tbl>
    <w:p w:rsidR="0015601D" w:rsidRDefault="0015601D" w:rsidP="007D7D82">
      <w:pPr>
        <w:rPr>
          <w:rFonts w:ascii="Arial" w:hAnsi="Arial" w:cs="Arial"/>
          <w:b/>
        </w:rPr>
      </w:pPr>
    </w:p>
    <w:p w:rsidR="00A20F7B" w:rsidRPr="00C01D4C" w:rsidRDefault="00A20F7B" w:rsidP="007D7D82">
      <w:pPr>
        <w:rPr>
          <w:rFonts w:ascii="Arial" w:hAnsi="Arial" w:cs="Arial"/>
          <w:b/>
        </w:rPr>
      </w:pPr>
    </w:p>
    <w:tbl>
      <w:tblPr>
        <w:tblStyle w:val="TableGrid"/>
        <w:tblW w:w="0" w:type="auto"/>
        <w:tblInd w:w="0" w:type="dxa"/>
        <w:tblLook w:val="04A0" w:firstRow="1" w:lastRow="0" w:firstColumn="1" w:lastColumn="0" w:noHBand="0" w:noVBand="1"/>
      </w:tblPr>
      <w:tblGrid>
        <w:gridCol w:w="9242"/>
      </w:tblGrid>
      <w:tr w:rsidR="005E5DD8" w:rsidRPr="00C01D4C" w:rsidTr="00833690">
        <w:tc>
          <w:tcPr>
            <w:tcW w:w="9242" w:type="dxa"/>
            <w:shd w:val="clear" w:color="auto" w:fill="A6A6A6" w:themeFill="background1" w:themeFillShade="A6"/>
          </w:tcPr>
          <w:p w:rsidR="005E5DD8" w:rsidRPr="00C01D4C" w:rsidRDefault="00A20F7B" w:rsidP="004F3ADF">
            <w:pPr>
              <w:pStyle w:val="ListParagraph"/>
              <w:numPr>
                <w:ilvl w:val="0"/>
                <w:numId w:val="13"/>
              </w:numPr>
              <w:rPr>
                <w:rFonts w:ascii="Arial" w:hAnsi="Arial" w:cs="Arial"/>
                <w:sz w:val="24"/>
                <w:szCs w:val="24"/>
              </w:rPr>
            </w:pPr>
            <w:r w:rsidRPr="00C01D4C">
              <w:rPr>
                <w:rFonts w:ascii="Arial" w:hAnsi="Arial" w:cs="Arial"/>
                <w:b/>
                <w:sz w:val="24"/>
                <w:szCs w:val="24"/>
              </w:rPr>
              <w:br w:type="page"/>
            </w:r>
            <w:r w:rsidR="005E5DD8" w:rsidRPr="00C01D4C">
              <w:rPr>
                <w:rFonts w:ascii="Arial" w:hAnsi="Arial" w:cs="Arial"/>
                <w:b/>
                <w:sz w:val="24"/>
                <w:szCs w:val="24"/>
              </w:rPr>
              <w:t>We have asked a number of specific questions. If you have any related issues that we have not specifically addressed, please raise them here.</w:t>
            </w:r>
          </w:p>
        </w:tc>
      </w:tr>
      <w:tr w:rsidR="005E5DD8" w:rsidRPr="00C01D4C" w:rsidTr="00833690">
        <w:trPr>
          <w:trHeight w:val="1884"/>
        </w:trPr>
        <w:tc>
          <w:tcPr>
            <w:tcW w:w="9242" w:type="dxa"/>
            <w:shd w:val="clear" w:color="auto" w:fill="auto"/>
          </w:tcPr>
          <w:p w:rsidR="005E5DD8" w:rsidRPr="00C01D4C" w:rsidRDefault="005E5DD8" w:rsidP="00833690">
            <w:pPr>
              <w:rPr>
                <w:rFonts w:ascii="Arial" w:hAnsi="Arial" w:cs="Arial"/>
                <w:sz w:val="24"/>
                <w:szCs w:val="24"/>
              </w:rPr>
            </w:pPr>
          </w:p>
          <w:p w:rsidR="003446D8" w:rsidRDefault="002C2C27" w:rsidP="002C2C27">
            <w:pPr>
              <w:rPr>
                <w:rFonts w:ascii="Arial" w:hAnsi="Arial" w:cs="Arial"/>
                <w:sz w:val="24"/>
                <w:szCs w:val="24"/>
              </w:rPr>
            </w:pPr>
            <w:r>
              <w:rPr>
                <w:rFonts w:ascii="Arial" w:hAnsi="Arial" w:cs="Arial"/>
                <w:sz w:val="24"/>
                <w:szCs w:val="24"/>
              </w:rPr>
              <w:t xml:space="preserve">The </w:t>
            </w:r>
            <w:r w:rsidRPr="00CF50B2">
              <w:rPr>
                <w:rFonts w:ascii="Arial" w:hAnsi="Arial" w:cs="Arial"/>
                <w:sz w:val="24"/>
                <w:szCs w:val="24"/>
              </w:rPr>
              <w:t>Royal College of Nursing</w:t>
            </w:r>
            <w:r>
              <w:rPr>
                <w:rFonts w:ascii="Arial" w:hAnsi="Arial" w:cs="Arial"/>
                <w:sz w:val="24"/>
                <w:szCs w:val="24"/>
              </w:rPr>
              <w:t xml:space="preserve"> campaigned passionately for the introduction of this landmark legislation, and we did so in the name of saving lives and improving patient care. </w:t>
            </w:r>
          </w:p>
          <w:p w:rsidR="003446D8" w:rsidRDefault="003446D8" w:rsidP="002C2C27">
            <w:pPr>
              <w:rPr>
                <w:rFonts w:ascii="Arial" w:hAnsi="Arial" w:cs="Arial"/>
                <w:sz w:val="24"/>
                <w:szCs w:val="24"/>
              </w:rPr>
            </w:pPr>
          </w:p>
          <w:p w:rsidR="003446D8" w:rsidRDefault="003446D8" w:rsidP="002C2C27">
            <w:pPr>
              <w:rPr>
                <w:rFonts w:ascii="Arial" w:hAnsi="Arial" w:cs="Arial"/>
                <w:sz w:val="24"/>
                <w:szCs w:val="24"/>
              </w:rPr>
            </w:pPr>
            <w:r>
              <w:rPr>
                <w:rFonts w:ascii="Arial" w:hAnsi="Arial" w:cs="Arial"/>
                <w:sz w:val="24"/>
                <w:szCs w:val="24"/>
              </w:rPr>
              <w:t xml:space="preserve">Section 25 D  this section places a duty on Welsh Ministers to consult upon the issue of guidance we are disappointed </w:t>
            </w:r>
            <w:r w:rsidR="00BA7EF1">
              <w:rPr>
                <w:rFonts w:ascii="Arial" w:hAnsi="Arial" w:cs="Arial"/>
                <w:sz w:val="24"/>
                <w:szCs w:val="24"/>
              </w:rPr>
              <w:t xml:space="preserve">that whilst </w:t>
            </w:r>
            <w:r>
              <w:rPr>
                <w:rFonts w:ascii="Arial" w:hAnsi="Arial" w:cs="Arial"/>
                <w:sz w:val="24"/>
                <w:szCs w:val="24"/>
              </w:rPr>
              <w:t xml:space="preserve">participating in two consultative periods none of the results of those meetings were incorporated in this current consultation which </w:t>
            </w:r>
            <w:r w:rsidR="00BA7EF1">
              <w:rPr>
                <w:rFonts w:ascii="Arial" w:hAnsi="Arial" w:cs="Arial"/>
                <w:sz w:val="24"/>
                <w:szCs w:val="24"/>
              </w:rPr>
              <w:t xml:space="preserve">challenges why the two meetings took place and why our opinions and those of other were not taken into account </w:t>
            </w:r>
          </w:p>
          <w:p w:rsidR="005F0809" w:rsidRDefault="005F0809" w:rsidP="002C2C27">
            <w:pPr>
              <w:rPr>
                <w:rFonts w:ascii="Arial" w:hAnsi="Arial" w:cs="Arial"/>
                <w:sz w:val="24"/>
                <w:szCs w:val="24"/>
              </w:rPr>
            </w:pPr>
          </w:p>
          <w:p w:rsidR="005F0809" w:rsidRDefault="002C2C27" w:rsidP="002C2C27">
            <w:pPr>
              <w:rPr>
                <w:rFonts w:ascii="Arial" w:hAnsi="Arial" w:cs="Arial"/>
                <w:sz w:val="24"/>
                <w:szCs w:val="24"/>
              </w:rPr>
            </w:pPr>
            <w:r w:rsidRPr="00CF50B2">
              <w:rPr>
                <w:rFonts w:ascii="Arial" w:hAnsi="Arial" w:cs="Arial"/>
                <w:sz w:val="24"/>
                <w:szCs w:val="24"/>
              </w:rPr>
              <w:t xml:space="preserve">Research shows that poor nurse staffing levels increase mortality </w:t>
            </w:r>
            <w:r>
              <w:rPr>
                <w:rFonts w:ascii="Arial" w:hAnsi="Arial" w:cs="Arial"/>
                <w:sz w:val="24"/>
                <w:szCs w:val="24"/>
              </w:rPr>
              <w:t xml:space="preserve">rates </w:t>
            </w:r>
            <w:r w:rsidRPr="00CF50B2">
              <w:rPr>
                <w:rFonts w:ascii="Arial" w:hAnsi="Arial" w:cs="Arial"/>
                <w:sz w:val="24"/>
                <w:szCs w:val="24"/>
              </w:rPr>
              <w:t>compared to better staffed wards</w:t>
            </w:r>
            <w:r>
              <w:rPr>
                <w:rFonts w:ascii="Arial" w:hAnsi="Arial" w:cs="Arial"/>
                <w:sz w:val="24"/>
                <w:szCs w:val="24"/>
              </w:rPr>
              <w:t>. It is our belief that the statutory guidance as drafted will not ensure that sufficient staffing levels are maintained and that patient care is improved.</w:t>
            </w:r>
          </w:p>
          <w:p w:rsidR="005F0809" w:rsidRDefault="005F0809" w:rsidP="002C2C27">
            <w:pPr>
              <w:rPr>
                <w:rFonts w:ascii="Arial" w:hAnsi="Arial" w:cs="Arial"/>
                <w:sz w:val="24"/>
                <w:szCs w:val="24"/>
              </w:rPr>
            </w:pPr>
          </w:p>
          <w:p w:rsidR="002C2C27" w:rsidRDefault="005F0809" w:rsidP="002C2C27">
            <w:pPr>
              <w:rPr>
                <w:rFonts w:ascii="Arial" w:hAnsi="Arial" w:cs="Arial"/>
                <w:sz w:val="24"/>
                <w:szCs w:val="24"/>
              </w:rPr>
            </w:pPr>
            <w:r>
              <w:rPr>
                <w:rFonts w:ascii="Arial" w:hAnsi="Arial" w:cs="Arial"/>
                <w:sz w:val="24"/>
                <w:szCs w:val="24"/>
              </w:rPr>
              <w:t>The introduction of the California law on staffing levels (with an explicit ratio) reduced 30 day mortality rates by between 10 and 13%. We cannot see that such similar benefits will be achieved in Wales without similar safeguards.</w:t>
            </w:r>
          </w:p>
          <w:p w:rsidR="002C2C27" w:rsidRDefault="002C2C27" w:rsidP="002C2C27">
            <w:pPr>
              <w:rPr>
                <w:rFonts w:ascii="Arial" w:hAnsi="Arial" w:cs="Arial"/>
                <w:sz w:val="24"/>
                <w:szCs w:val="24"/>
              </w:rPr>
            </w:pPr>
          </w:p>
          <w:p w:rsidR="002C2C27" w:rsidRDefault="002C2C27" w:rsidP="002C2C27">
            <w:pPr>
              <w:rPr>
                <w:rFonts w:ascii="Arial" w:hAnsi="Arial" w:cs="Arial"/>
                <w:sz w:val="24"/>
                <w:szCs w:val="24"/>
              </w:rPr>
            </w:pPr>
            <w:r>
              <w:rPr>
                <w:rFonts w:ascii="Arial" w:hAnsi="Arial" w:cs="Arial"/>
                <w:sz w:val="24"/>
                <w:szCs w:val="24"/>
              </w:rPr>
              <w:t xml:space="preserve">The </w:t>
            </w:r>
            <w:r w:rsidRPr="00D720FD">
              <w:rPr>
                <w:rFonts w:ascii="Arial" w:hAnsi="Arial" w:cs="Arial"/>
                <w:sz w:val="24"/>
                <w:szCs w:val="24"/>
              </w:rPr>
              <w:t>Royal College of Nursing</w:t>
            </w:r>
            <w:r>
              <w:rPr>
                <w:rFonts w:ascii="Arial" w:hAnsi="Arial" w:cs="Arial"/>
                <w:sz w:val="24"/>
                <w:szCs w:val="24"/>
              </w:rPr>
              <w:t xml:space="preserve"> have been closely involved throughout the development of this guidance, and have played an active part in the stakeholder engagement events. We are disappointed therefore that a number of our key recommendations have not been included in the draft guidance. As a result, the </w:t>
            </w:r>
            <w:r w:rsidRPr="00CF50B2">
              <w:rPr>
                <w:rFonts w:ascii="Arial" w:hAnsi="Arial" w:cs="Arial"/>
                <w:sz w:val="24"/>
                <w:szCs w:val="24"/>
              </w:rPr>
              <w:t>Royal College of Nursing</w:t>
            </w:r>
            <w:r>
              <w:rPr>
                <w:rFonts w:ascii="Arial" w:hAnsi="Arial" w:cs="Arial"/>
                <w:sz w:val="24"/>
                <w:szCs w:val="24"/>
              </w:rPr>
              <w:t xml:space="preserve"> cannot support the guidance as currently drafted. The key areas which we need significant strengthening in the guidance</w:t>
            </w:r>
            <w:r w:rsidR="001D1CC0">
              <w:rPr>
                <w:rFonts w:ascii="Arial" w:hAnsi="Arial" w:cs="Arial"/>
                <w:sz w:val="24"/>
                <w:szCs w:val="24"/>
              </w:rPr>
              <w:t>, much of which has been covered in our response above, are outlined below:</w:t>
            </w:r>
          </w:p>
          <w:p w:rsidR="002C2C27" w:rsidRDefault="002C2C27" w:rsidP="002C2C27">
            <w:pPr>
              <w:rPr>
                <w:rFonts w:ascii="Arial" w:hAnsi="Arial" w:cs="Arial"/>
                <w:sz w:val="24"/>
                <w:szCs w:val="24"/>
              </w:rPr>
            </w:pPr>
          </w:p>
          <w:p w:rsidR="002C2C27" w:rsidRDefault="002C2C27" w:rsidP="002C2C27">
            <w:pPr>
              <w:rPr>
                <w:rFonts w:ascii="Arial" w:hAnsi="Arial" w:cs="Arial"/>
                <w:sz w:val="24"/>
                <w:szCs w:val="24"/>
                <w:u w:val="single"/>
              </w:rPr>
            </w:pPr>
            <w:r>
              <w:rPr>
                <w:rFonts w:ascii="Arial" w:hAnsi="Arial" w:cs="Arial"/>
                <w:sz w:val="24"/>
                <w:szCs w:val="24"/>
                <w:u w:val="single"/>
              </w:rPr>
              <w:t>Staffing ratio</w:t>
            </w:r>
          </w:p>
          <w:p w:rsidR="002C2C27" w:rsidRDefault="001D1CC0" w:rsidP="002C2C27">
            <w:pPr>
              <w:rPr>
                <w:rFonts w:ascii="Arial" w:hAnsi="Arial" w:cs="Arial"/>
                <w:sz w:val="24"/>
                <w:szCs w:val="24"/>
              </w:rPr>
            </w:pPr>
            <w:r w:rsidRPr="001D1CC0">
              <w:rPr>
                <w:rFonts w:ascii="Arial" w:hAnsi="Arial" w:cs="Arial"/>
                <w:sz w:val="24"/>
                <w:szCs w:val="24"/>
              </w:rPr>
              <w:t>The Royal College of Nursing Wales</w:t>
            </w:r>
            <w:r w:rsidR="002C2C27" w:rsidRPr="001D1CC0">
              <w:rPr>
                <w:rFonts w:ascii="Arial" w:hAnsi="Arial" w:cs="Arial"/>
                <w:sz w:val="24"/>
                <w:szCs w:val="24"/>
              </w:rPr>
              <w:t xml:space="preserve"> have</w:t>
            </w:r>
            <w:r w:rsidR="002C2C27">
              <w:rPr>
                <w:rFonts w:ascii="Arial" w:hAnsi="Arial" w:cs="Arial"/>
                <w:sz w:val="24"/>
                <w:szCs w:val="24"/>
              </w:rPr>
              <w:t xml:space="preserve"> maintained consistently that the Nurse Staffing Principles, published by the Chief Nursing Officer in 2012, should be explicitly reflected in the statutory guidance. This includes the principle that “the number of patients per Registered Nurse should not exceed 7 by day”. There is no reference to a 7:1 patient to nurse ratio in the draft guidance. </w:t>
            </w:r>
          </w:p>
          <w:p w:rsidR="002C2C27" w:rsidRDefault="002C2C27" w:rsidP="002C2C27">
            <w:pPr>
              <w:rPr>
                <w:rFonts w:ascii="Arial" w:hAnsi="Arial" w:cs="Arial"/>
                <w:sz w:val="24"/>
                <w:szCs w:val="24"/>
              </w:rPr>
            </w:pPr>
          </w:p>
          <w:p w:rsidR="002C2C27" w:rsidRPr="0087038F" w:rsidRDefault="002C2C27" w:rsidP="002C2C27">
            <w:pPr>
              <w:rPr>
                <w:rFonts w:ascii="Arial" w:hAnsi="Arial" w:cs="Arial"/>
                <w:sz w:val="24"/>
                <w:szCs w:val="24"/>
                <w:u w:val="single"/>
              </w:rPr>
            </w:pPr>
            <w:r>
              <w:rPr>
                <w:rFonts w:ascii="Arial" w:hAnsi="Arial" w:cs="Arial"/>
                <w:sz w:val="24"/>
                <w:szCs w:val="24"/>
                <w:u w:val="single"/>
              </w:rPr>
              <w:t>Supernumerary role of Ward Sister</w:t>
            </w:r>
          </w:p>
          <w:p w:rsidR="002C2C27" w:rsidRDefault="002C2C27" w:rsidP="002C2C27">
            <w:pPr>
              <w:rPr>
                <w:rFonts w:ascii="Arial" w:hAnsi="Arial" w:cs="Arial"/>
                <w:sz w:val="24"/>
                <w:szCs w:val="24"/>
              </w:rPr>
            </w:pPr>
            <w:r>
              <w:rPr>
                <w:rFonts w:ascii="Arial" w:hAnsi="Arial" w:cs="Arial"/>
                <w:sz w:val="24"/>
                <w:szCs w:val="24"/>
              </w:rPr>
              <w:t>Equally important is that the Ward Sister or Charge Nurse should not be included in the numbers when calculating patients per Registered Nurse. Ward Sisters are central to the running of a ward; a</w:t>
            </w:r>
            <w:r w:rsidRPr="004F3DB2">
              <w:rPr>
                <w:rFonts w:ascii="Arial" w:hAnsi="Arial" w:cs="Arial"/>
                <w:sz w:val="24"/>
                <w:szCs w:val="24"/>
              </w:rPr>
              <w:t xml:space="preserve">s well as being </w:t>
            </w:r>
            <w:r>
              <w:rPr>
                <w:rFonts w:ascii="Arial" w:hAnsi="Arial" w:cs="Arial"/>
                <w:sz w:val="24"/>
                <w:szCs w:val="24"/>
              </w:rPr>
              <w:t>key to ensuring high standards of patient care, they also play a key part in</w:t>
            </w:r>
            <w:r w:rsidRPr="004F3DB2">
              <w:rPr>
                <w:rFonts w:ascii="Arial" w:hAnsi="Arial" w:cs="Arial"/>
                <w:sz w:val="24"/>
                <w:szCs w:val="24"/>
              </w:rPr>
              <w:t xml:space="preserve"> providing staff learning and development opportunities</w:t>
            </w:r>
            <w:r>
              <w:rPr>
                <w:rFonts w:ascii="Arial" w:hAnsi="Arial" w:cs="Arial"/>
                <w:sz w:val="24"/>
                <w:szCs w:val="24"/>
              </w:rPr>
              <w:t>, HR management, recruitment, sickness and absence management, appraisals and disciplinary procedures</w:t>
            </w:r>
            <w:r w:rsidRPr="004F3DB2">
              <w:rPr>
                <w:rFonts w:ascii="Arial" w:hAnsi="Arial" w:cs="Arial"/>
                <w:sz w:val="24"/>
                <w:szCs w:val="24"/>
              </w:rPr>
              <w:t xml:space="preserve">. Their ability </w:t>
            </w:r>
            <w:r>
              <w:rPr>
                <w:rFonts w:ascii="Arial" w:hAnsi="Arial" w:cs="Arial"/>
                <w:sz w:val="24"/>
                <w:szCs w:val="24"/>
              </w:rPr>
              <w:t xml:space="preserve">to manage these multiple demands can determine </w:t>
            </w:r>
            <w:r w:rsidRPr="004F3DB2">
              <w:rPr>
                <w:rFonts w:ascii="Arial" w:hAnsi="Arial" w:cs="Arial"/>
                <w:sz w:val="24"/>
                <w:szCs w:val="24"/>
              </w:rPr>
              <w:t>the morale of the team and therefore the quality of care provided in hospitals.</w:t>
            </w:r>
            <w:r>
              <w:rPr>
                <w:rFonts w:ascii="Arial" w:hAnsi="Arial" w:cs="Arial"/>
                <w:sz w:val="24"/>
                <w:szCs w:val="24"/>
              </w:rPr>
              <w:t xml:space="preserve"> It is vital therefore that they are not included in the calculations of nurse to patient ratio so that they have sufficient time to fulfil these vital duties. </w:t>
            </w:r>
          </w:p>
          <w:p w:rsidR="002C2C27" w:rsidRDefault="002C2C27" w:rsidP="002C2C27">
            <w:pPr>
              <w:rPr>
                <w:rFonts w:ascii="Arial" w:hAnsi="Arial" w:cs="Arial"/>
                <w:sz w:val="24"/>
                <w:szCs w:val="24"/>
              </w:rPr>
            </w:pPr>
          </w:p>
          <w:p w:rsidR="002C2C27" w:rsidRPr="000A2658" w:rsidRDefault="002C2C27" w:rsidP="002C2C27">
            <w:pPr>
              <w:rPr>
                <w:rFonts w:ascii="Arial" w:hAnsi="Arial" w:cs="Arial"/>
                <w:sz w:val="24"/>
                <w:szCs w:val="24"/>
                <w:u w:val="single"/>
              </w:rPr>
            </w:pPr>
            <w:r>
              <w:rPr>
                <w:rFonts w:ascii="Arial" w:hAnsi="Arial" w:cs="Arial"/>
                <w:sz w:val="24"/>
                <w:szCs w:val="24"/>
                <w:u w:val="single"/>
              </w:rPr>
              <w:t>Student nurse mentorship</w:t>
            </w:r>
          </w:p>
          <w:p w:rsidR="002C2C27" w:rsidRDefault="002C2C27" w:rsidP="002C2C27">
            <w:pPr>
              <w:rPr>
                <w:rFonts w:ascii="Arial" w:hAnsi="Arial" w:cs="Arial"/>
                <w:sz w:val="24"/>
                <w:szCs w:val="24"/>
              </w:rPr>
            </w:pPr>
            <w:r>
              <w:rPr>
                <w:rFonts w:ascii="Arial" w:hAnsi="Arial" w:cs="Arial"/>
                <w:sz w:val="24"/>
                <w:szCs w:val="24"/>
              </w:rPr>
              <w:lastRenderedPageBreak/>
              <w:t xml:space="preserve">Some nurses on a ward will be acting as mentors for nursing students. The </w:t>
            </w:r>
            <w:r w:rsidRPr="000A2658">
              <w:rPr>
                <w:rFonts w:ascii="Arial" w:hAnsi="Arial" w:cs="Arial"/>
                <w:sz w:val="24"/>
                <w:szCs w:val="24"/>
              </w:rPr>
              <w:t>role as a mentor is critical in helping to facilitate the development of future generations of nurses</w:t>
            </w:r>
            <w:r>
              <w:rPr>
                <w:rFonts w:ascii="Arial" w:hAnsi="Arial" w:cs="Arial"/>
                <w:sz w:val="24"/>
                <w:szCs w:val="24"/>
              </w:rPr>
              <w:t xml:space="preserve">. Some of the duties involved in mentoring student nurses includes: </w:t>
            </w:r>
            <w:r w:rsidRPr="00F62372">
              <w:rPr>
                <w:rFonts w:ascii="Arial" w:hAnsi="Arial" w:cs="Arial"/>
                <w:sz w:val="24"/>
                <w:szCs w:val="24"/>
              </w:rPr>
              <w:t>assessing, evaluating an</w:t>
            </w:r>
            <w:r>
              <w:rPr>
                <w:rFonts w:ascii="Arial" w:hAnsi="Arial" w:cs="Arial"/>
                <w:sz w:val="24"/>
                <w:szCs w:val="24"/>
              </w:rPr>
              <w:t xml:space="preserve">d giving constructive feedback; </w:t>
            </w:r>
            <w:r w:rsidRPr="00F62372">
              <w:rPr>
                <w:rFonts w:ascii="Arial" w:hAnsi="Arial" w:cs="Arial"/>
                <w:sz w:val="24"/>
                <w:szCs w:val="24"/>
              </w:rPr>
              <w:t>observ</w:t>
            </w:r>
            <w:r>
              <w:rPr>
                <w:rFonts w:ascii="Arial" w:hAnsi="Arial" w:cs="Arial"/>
                <w:sz w:val="24"/>
                <w:szCs w:val="24"/>
              </w:rPr>
              <w:t>ing</w:t>
            </w:r>
            <w:r w:rsidRPr="00F62372">
              <w:rPr>
                <w:rFonts w:ascii="Arial" w:hAnsi="Arial" w:cs="Arial"/>
                <w:sz w:val="24"/>
                <w:szCs w:val="24"/>
              </w:rPr>
              <w:t xml:space="preserve"> students practising skills under the appropriate level</w:t>
            </w:r>
            <w:r>
              <w:rPr>
                <w:rFonts w:ascii="Arial" w:hAnsi="Arial" w:cs="Arial"/>
                <w:sz w:val="24"/>
                <w:szCs w:val="24"/>
              </w:rPr>
              <w:t xml:space="preserve"> of supervision; </w:t>
            </w:r>
            <w:r w:rsidRPr="00F62372">
              <w:rPr>
                <w:rFonts w:ascii="Arial" w:hAnsi="Arial" w:cs="Arial"/>
                <w:sz w:val="24"/>
                <w:szCs w:val="24"/>
              </w:rPr>
              <w:t>provid</w:t>
            </w:r>
            <w:r>
              <w:rPr>
                <w:rFonts w:ascii="Arial" w:hAnsi="Arial" w:cs="Arial"/>
                <w:sz w:val="24"/>
                <w:szCs w:val="24"/>
              </w:rPr>
              <w:t>ing time for reflection, feedback and monitoring; and d</w:t>
            </w:r>
            <w:r w:rsidRPr="00F62372">
              <w:rPr>
                <w:rFonts w:ascii="Arial" w:hAnsi="Arial" w:cs="Arial"/>
                <w:sz w:val="24"/>
                <w:szCs w:val="24"/>
              </w:rPr>
              <w:t xml:space="preserve">ocumenting </w:t>
            </w:r>
            <w:r>
              <w:rPr>
                <w:rFonts w:ascii="Arial" w:hAnsi="Arial" w:cs="Arial"/>
                <w:sz w:val="24"/>
                <w:szCs w:val="24"/>
              </w:rPr>
              <w:t xml:space="preserve">the </w:t>
            </w:r>
            <w:r w:rsidRPr="00F62372">
              <w:rPr>
                <w:rFonts w:ascii="Arial" w:hAnsi="Arial" w:cs="Arial"/>
                <w:sz w:val="24"/>
                <w:szCs w:val="24"/>
              </w:rPr>
              <w:t>student’s progress</w:t>
            </w:r>
            <w:r>
              <w:rPr>
                <w:rFonts w:ascii="Arial" w:hAnsi="Arial" w:cs="Arial"/>
                <w:sz w:val="24"/>
                <w:szCs w:val="24"/>
              </w:rPr>
              <w:t xml:space="preserve">. As is the case with the Ward Sister/Charge Nurse, this is an important role which is ultimately about protecting the public. We do not feel this has been adequately reflected in the guidance. Nurse mentors must be afforded sufficient time to perform the role properly (for the benefit of students and patients), and this must be taken into account when calculating the nurse staffing levels. </w:t>
            </w:r>
          </w:p>
          <w:p w:rsidR="002C2C27" w:rsidRDefault="002C2C27" w:rsidP="002C2C27">
            <w:pPr>
              <w:rPr>
                <w:rFonts w:ascii="Arial" w:hAnsi="Arial" w:cs="Arial"/>
                <w:sz w:val="24"/>
                <w:szCs w:val="24"/>
              </w:rPr>
            </w:pPr>
          </w:p>
          <w:p w:rsidR="001D1CC0" w:rsidRDefault="001D1CC0" w:rsidP="002C2C27">
            <w:pPr>
              <w:rPr>
                <w:rFonts w:ascii="Arial" w:hAnsi="Arial" w:cs="Arial"/>
                <w:sz w:val="24"/>
                <w:szCs w:val="24"/>
                <w:u w:val="single"/>
              </w:rPr>
            </w:pPr>
          </w:p>
          <w:p w:rsidR="002C2C27" w:rsidRPr="007E5CBC" w:rsidRDefault="002C2C27" w:rsidP="002C2C27">
            <w:pPr>
              <w:rPr>
                <w:rFonts w:ascii="Arial" w:hAnsi="Arial" w:cs="Arial"/>
                <w:sz w:val="24"/>
                <w:szCs w:val="24"/>
                <w:u w:val="single"/>
              </w:rPr>
            </w:pPr>
            <w:r>
              <w:rPr>
                <w:rFonts w:ascii="Arial" w:hAnsi="Arial" w:cs="Arial"/>
                <w:sz w:val="24"/>
                <w:szCs w:val="24"/>
                <w:u w:val="single"/>
              </w:rPr>
              <w:t>Reporting and accountability for the Health Boards</w:t>
            </w:r>
          </w:p>
          <w:p w:rsidR="002C2C27" w:rsidRDefault="002C2C27" w:rsidP="002C2C27">
            <w:pPr>
              <w:rPr>
                <w:rFonts w:ascii="Arial" w:hAnsi="Arial" w:cs="Arial"/>
                <w:sz w:val="24"/>
                <w:szCs w:val="24"/>
              </w:rPr>
            </w:pPr>
            <w:r>
              <w:rPr>
                <w:rFonts w:ascii="Arial" w:hAnsi="Arial" w:cs="Arial"/>
                <w:sz w:val="24"/>
                <w:szCs w:val="24"/>
              </w:rPr>
              <w:t>Another fundamental issue is that of reporting and monitoring. Whilst we understand that there is no requirement for the Welsh Government to issue statutory guidance under section 25E of the Act, the Royal College would maintain that it is essential that guidance in some form, statutory or non-statutory, is issued to Health Boards in order to assist them in collecting and reporting this data. Consistency between Health Boards in their approach to collecting and reporting the data will be crucial to workforce planning and</w:t>
            </w:r>
            <w:r w:rsidRPr="00C54007">
              <w:rPr>
                <w:rFonts w:ascii="Arial" w:hAnsi="Arial" w:cs="Arial"/>
                <w:sz w:val="24"/>
                <w:szCs w:val="24"/>
              </w:rPr>
              <w:t xml:space="preserve"> public scrutiny</w:t>
            </w:r>
            <w:r>
              <w:rPr>
                <w:rFonts w:ascii="Arial" w:hAnsi="Arial" w:cs="Arial"/>
                <w:sz w:val="24"/>
                <w:szCs w:val="24"/>
              </w:rPr>
              <w:t xml:space="preserve">. Without clear guidance for Health Boards on how to show compliance with the legislation and on monitoring their progress towards meeting the required staffing levels, demonstrating the Act’s success will be impossible. </w:t>
            </w:r>
          </w:p>
          <w:p w:rsidR="002C2C27" w:rsidRPr="00C01D4C" w:rsidRDefault="002C2C27" w:rsidP="00833690">
            <w:pPr>
              <w:rPr>
                <w:rFonts w:ascii="Arial" w:hAnsi="Arial" w:cs="Arial"/>
                <w:sz w:val="24"/>
                <w:szCs w:val="24"/>
              </w:rPr>
            </w:pPr>
          </w:p>
          <w:p w:rsidR="005F0809" w:rsidRDefault="001D1CC0" w:rsidP="00833690">
            <w:pPr>
              <w:rPr>
                <w:rFonts w:ascii="Arial" w:hAnsi="Arial" w:cs="Arial"/>
                <w:sz w:val="24"/>
                <w:szCs w:val="24"/>
              </w:rPr>
            </w:pPr>
            <w:r>
              <w:rPr>
                <w:rFonts w:ascii="Arial" w:hAnsi="Arial" w:cs="Arial"/>
                <w:sz w:val="24"/>
                <w:szCs w:val="24"/>
              </w:rPr>
              <w:t xml:space="preserve">As a Royal College we worked extremely hard to see this the Nurse Staffing Levels Act become reality and we are immensely grateful for support the legislation received from the Welsh Government and from all the political parties involved in shaping it. </w:t>
            </w:r>
          </w:p>
          <w:p w:rsidR="005F0809" w:rsidRDefault="005F0809" w:rsidP="00833690">
            <w:pPr>
              <w:rPr>
                <w:rFonts w:ascii="Arial" w:hAnsi="Arial" w:cs="Arial"/>
                <w:sz w:val="24"/>
                <w:szCs w:val="24"/>
              </w:rPr>
            </w:pPr>
          </w:p>
          <w:p w:rsidR="005E5DD8" w:rsidRPr="00C01D4C" w:rsidRDefault="001D1CC0" w:rsidP="00833690">
            <w:pPr>
              <w:rPr>
                <w:rFonts w:ascii="Arial" w:hAnsi="Arial" w:cs="Arial"/>
                <w:sz w:val="24"/>
                <w:szCs w:val="24"/>
              </w:rPr>
            </w:pPr>
            <w:r>
              <w:rPr>
                <w:rFonts w:ascii="Arial" w:hAnsi="Arial" w:cs="Arial"/>
                <w:sz w:val="24"/>
                <w:szCs w:val="24"/>
              </w:rPr>
              <w:t>The statutory guidance that sits alongside the Act will be key to its successful</w:t>
            </w:r>
            <w:r w:rsidR="005F0809">
              <w:rPr>
                <w:rFonts w:ascii="Arial" w:hAnsi="Arial" w:cs="Arial"/>
                <w:sz w:val="24"/>
                <w:szCs w:val="24"/>
              </w:rPr>
              <w:t xml:space="preserve"> and effective implementation. Unfortunately i</w:t>
            </w:r>
            <w:r>
              <w:rPr>
                <w:rFonts w:ascii="Arial" w:hAnsi="Arial" w:cs="Arial"/>
                <w:sz w:val="24"/>
                <w:szCs w:val="24"/>
              </w:rPr>
              <w:t>t is our belief that the statutory guidance as drafted will not ensure that sufficient staffing levels are maintained and that patient care is improved.</w:t>
            </w:r>
            <w:r w:rsidR="005F0809">
              <w:rPr>
                <w:rFonts w:ascii="Arial" w:hAnsi="Arial" w:cs="Arial"/>
                <w:sz w:val="24"/>
                <w:szCs w:val="24"/>
              </w:rPr>
              <w:t xml:space="preserve"> This consultation is an opportunity for the Welsh Government to strengthen thus guidance and in doing so ensure that the benefits of the Nurse Staffing Levels (Wales) Act are full realised and that the good intentions and hopes of the legislators who passed the Act are achieved. </w:t>
            </w:r>
          </w:p>
          <w:p w:rsidR="005E5DD8" w:rsidRPr="00C01D4C" w:rsidRDefault="005E5DD8" w:rsidP="00833690">
            <w:pPr>
              <w:rPr>
                <w:rFonts w:ascii="Arial" w:hAnsi="Arial" w:cs="Arial"/>
                <w:b/>
                <w:sz w:val="24"/>
                <w:szCs w:val="24"/>
              </w:rPr>
            </w:pPr>
          </w:p>
        </w:tc>
      </w:tr>
      <w:bookmarkEnd w:id="1"/>
    </w:tbl>
    <w:p w:rsidR="007D7D82" w:rsidRDefault="007D7D82" w:rsidP="007D7D82">
      <w:pPr>
        <w:rPr>
          <w:rFonts w:ascii="Arial" w:hAnsi="Arial"/>
          <w:b/>
        </w:rPr>
      </w:pPr>
    </w:p>
    <w:p w:rsidR="005E5DD8" w:rsidRDefault="005E5DD8" w:rsidP="007D7D82">
      <w:pPr>
        <w:rPr>
          <w:rFonts w:ascii="Arial" w:hAnsi="Arial" w:cs="Arial"/>
          <w:color w:val="000000"/>
        </w:rPr>
      </w:pPr>
    </w:p>
    <w:tbl>
      <w:tblPr>
        <w:tblW w:w="0" w:type="auto"/>
        <w:tblLook w:val="01E0" w:firstRow="1" w:lastRow="1" w:firstColumn="1" w:lastColumn="1" w:noHBand="0" w:noVBand="0"/>
      </w:tblPr>
      <w:tblGrid>
        <w:gridCol w:w="7668"/>
        <w:gridCol w:w="854"/>
      </w:tblGrid>
      <w:tr w:rsidR="007D7D82" w:rsidRPr="009F12AB" w:rsidTr="00E52C3A">
        <w:tc>
          <w:tcPr>
            <w:tcW w:w="7668" w:type="dxa"/>
            <w:shd w:val="clear" w:color="auto" w:fill="auto"/>
          </w:tcPr>
          <w:p w:rsidR="007D7D82" w:rsidRPr="009F12AB" w:rsidRDefault="007D7D82" w:rsidP="00E52C3A">
            <w:pPr>
              <w:rPr>
                <w:rFonts w:ascii="Arial" w:hAnsi="Arial" w:cs="Arial"/>
                <w:color w:val="000000"/>
              </w:rPr>
            </w:pPr>
            <w:r w:rsidRPr="009F12AB">
              <w:rPr>
                <w:rFonts w:ascii="Arial" w:hAnsi="Arial" w:cs="Arial"/>
                <w:color w:val="000000"/>
              </w:rPr>
              <w:t>Responses to consultations are likely to be made public, on the internet or in a report.  If you would prefer your response to remain anonymous, please tick here:</w:t>
            </w:r>
          </w:p>
        </w:tc>
        <w:tc>
          <w:tcPr>
            <w:tcW w:w="854" w:type="dxa"/>
            <w:shd w:val="clear" w:color="auto" w:fill="auto"/>
          </w:tcPr>
          <w:p w:rsidR="007D7D82" w:rsidRPr="009F12AB" w:rsidRDefault="007D7D82" w:rsidP="00E52C3A">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7456" behindDoc="0" locked="0" layoutInCell="1" allowOverlap="1" wp14:anchorId="74269B19" wp14:editId="08190512">
                      <wp:simplePos x="0" y="0"/>
                      <wp:positionH relativeFrom="column">
                        <wp:posOffset>103505</wp:posOffset>
                      </wp:positionH>
                      <wp:positionV relativeFrom="paragraph">
                        <wp:posOffset>-259080</wp:posOffset>
                      </wp:positionV>
                      <wp:extent cx="342900" cy="342900"/>
                      <wp:effectExtent l="0" t="0" r="18415" b="12700"/>
                      <wp:wrapThrough wrapText="bothSides">
                        <wp:wrapPolygon edited="0">
                          <wp:start x="2400" y="-600"/>
                          <wp:lineTo x="-600" y="600"/>
                          <wp:lineTo x="-600" y="19200"/>
                          <wp:lineTo x="600" y="21000"/>
                          <wp:lineTo x="20400" y="21000"/>
                          <wp:lineTo x="22200" y="18600"/>
                          <wp:lineTo x="22200" y="4200"/>
                          <wp:lineTo x="21000" y="600"/>
                          <wp:lineTo x="18600" y="-600"/>
                          <wp:lineTo x="2400" y="-600"/>
                        </wp:wrapPolygon>
                      </wp:wrapThrough>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3D8BE" id="AutoShape 3" o:spid="_x0000_s1026" style="position:absolute;margin-left:8.15pt;margin-top:-20.4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">
                      <w10:wrap type="through"/>
                    </v:roundrect>
                  </w:pict>
                </mc:Fallback>
              </mc:AlternateContent>
            </w:r>
          </w:p>
        </w:tc>
      </w:tr>
    </w:tbl>
    <w:p w:rsidR="004C16E5" w:rsidRPr="001D3211" w:rsidRDefault="004C16E5" w:rsidP="001B4C20">
      <w:pPr>
        <w:rPr>
          <w:rFonts w:ascii="Arial" w:hAnsi="Arial" w:cs="Arial"/>
        </w:rPr>
      </w:pPr>
    </w:p>
    <w:sectPr w:rsidR="004C16E5" w:rsidRPr="001D3211" w:rsidSect="001D3211">
      <w:pgSz w:w="11900" w:h="16840"/>
      <w:pgMar w:top="993" w:right="112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20" w:rsidRDefault="00F32A20" w:rsidP="004C16E5">
      <w:r>
        <w:separator/>
      </w:r>
    </w:p>
  </w:endnote>
  <w:endnote w:type="continuationSeparator" w:id="0">
    <w:p w:rsidR="00F32A20" w:rsidRDefault="00F32A20"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20" w:rsidRDefault="00F32A20" w:rsidP="004C16E5">
      <w:r>
        <w:separator/>
      </w:r>
    </w:p>
  </w:footnote>
  <w:footnote w:type="continuationSeparator" w:id="0">
    <w:p w:rsidR="00F32A20" w:rsidRDefault="00F32A20" w:rsidP="004C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5EE"/>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 w15:restartNumberingAfterBreak="0">
    <w:nsid w:val="0CB35631"/>
    <w:multiLevelType w:val="hybridMultilevel"/>
    <w:tmpl w:val="3FFE79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0732"/>
    <w:multiLevelType w:val="hybridMultilevel"/>
    <w:tmpl w:val="B80E82A6"/>
    <w:lvl w:ilvl="0" w:tplc="1A1871F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48141B4"/>
    <w:multiLevelType w:val="hybridMultilevel"/>
    <w:tmpl w:val="2D1606AA"/>
    <w:lvl w:ilvl="0" w:tplc="783645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A9F6FB3"/>
    <w:multiLevelType w:val="hybridMultilevel"/>
    <w:tmpl w:val="3FFE79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86DF6"/>
    <w:multiLevelType w:val="hybridMultilevel"/>
    <w:tmpl w:val="3FFE79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0794E"/>
    <w:multiLevelType w:val="hybridMultilevel"/>
    <w:tmpl w:val="BA12BEB0"/>
    <w:lvl w:ilvl="0" w:tplc="2D64D72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10FF"/>
    <w:multiLevelType w:val="hybridMultilevel"/>
    <w:tmpl w:val="DF60F04A"/>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867EE"/>
    <w:multiLevelType w:val="hybridMultilevel"/>
    <w:tmpl w:val="85661CA6"/>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317B5"/>
    <w:multiLevelType w:val="hybridMultilevel"/>
    <w:tmpl w:val="1A4C1B68"/>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14602"/>
    <w:multiLevelType w:val="hybridMultilevel"/>
    <w:tmpl w:val="C926720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816A7"/>
    <w:multiLevelType w:val="hybridMultilevel"/>
    <w:tmpl w:val="874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19" w15:restartNumberingAfterBreak="0">
    <w:nsid w:val="5C7E0D27"/>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20" w15:restartNumberingAfterBreak="0">
    <w:nsid w:val="66726E85"/>
    <w:multiLevelType w:val="hybridMultilevel"/>
    <w:tmpl w:val="CC14C23C"/>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E7D9C"/>
    <w:multiLevelType w:val="hybridMultilevel"/>
    <w:tmpl w:val="3FFE79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53EE5"/>
    <w:multiLevelType w:val="hybridMultilevel"/>
    <w:tmpl w:val="3FFE79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85F38"/>
    <w:multiLevelType w:val="hybridMultilevel"/>
    <w:tmpl w:val="74382534"/>
    <w:lvl w:ilvl="0" w:tplc="FEBE4A50">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A04A70"/>
    <w:multiLevelType w:val="hybridMultilevel"/>
    <w:tmpl w:val="87C29052"/>
    <w:lvl w:ilvl="0" w:tplc="4D2603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22"/>
  </w:num>
  <w:num w:numId="2">
    <w:abstractNumId w:val="9"/>
  </w:num>
  <w:num w:numId="3">
    <w:abstractNumId w:val="4"/>
  </w:num>
  <w:num w:numId="4">
    <w:abstractNumId w:val="10"/>
  </w:num>
  <w:num w:numId="5">
    <w:abstractNumId w:val="12"/>
  </w:num>
  <w:num w:numId="6">
    <w:abstractNumId w:val="7"/>
  </w:num>
  <w:num w:numId="7">
    <w:abstractNumId w:val="14"/>
  </w:num>
  <w:num w:numId="8">
    <w:abstractNumId w:val="17"/>
  </w:num>
  <w:num w:numId="9">
    <w:abstractNumId w:val="16"/>
  </w:num>
  <w:num w:numId="10">
    <w:abstractNumId w:val="13"/>
  </w:num>
  <w:num w:numId="11">
    <w:abstractNumId w:val="6"/>
  </w:num>
  <w:num w:numId="12">
    <w:abstractNumId w:val="24"/>
  </w:num>
  <w:num w:numId="13">
    <w:abstractNumId w:val="20"/>
  </w:num>
  <w:num w:numId="14">
    <w:abstractNumId w:val="5"/>
  </w:num>
  <w:num w:numId="15">
    <w:abstractNumId w:val="21"/>
  </w:num>
  <w:num w:numId="16">
    <w:abstractNumId w:val="1"/>
  </w:num>
  <w:num w:numId="17">
    <w:abstractNumId w:val="23"/>
  </w:num>
  <w:num w:numId="18">
    <w:abstractNumId w:val="11"/>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0"/>
  </w:num>
  <w:num w:numId="25">
    <w:abstractNumId w:val="19"/>
  </w:num>
  <w:num w:numId="26">
    <w:abstractNumId w:val="25"/>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B4FFB"/>
    <w:rsid w:val="000C1DBA"/>
    <w:rsid w:val="000F1D82"/>
    <w:rsid w:val="000F6510"/>
    <w:rsid w:val="00112AA0"/>
    <w:rsid w:val="0015601D"/>
    <w:rsid w:val="00156964"/>
    <w:rsid w:val="001B4C20"/>
    <w:rsid w:val="001C29FF"/>
    <w:rsid w:val="001D1CC0"/>
    <w:rsid w:val="001D3211"/>
    <w:rsid w:val="002002D9"/>
    <w:rsid w:val="0022211C"/>
    <w:rsid w:val="00224C77"/>
    <w:rsid w:val="00256650"/>
    <w:rsid w:val="002A49C7"/>
    <w:rsid w:val="002C2C27"/>
    <w:rsid w:val="002D464F"/>
    <w:rsid w:val="00304EAD"/>
    <w:rsid w:val="003446D8"/>
    <w:rsid w:val="00376F76"/>
    <w:rsid w:val="00381E7D"/>
    <w:rsid w:val="003A7E73"/>
    <w:rsid w:val="003B32B7"/>
    <w:rsid w:val="003F7DC1"/>
    <w:rsid w:val="003F7EA7"/>
    <w:rsid w:val="00410178"/>
    <w:rsid w:val="004209EC"/>
    <w:rsid w:val="00465833"/>
    <w:rsid w:val="00491248"/>
    <w:rsid w:val="004C16E5"/>
    <w:rsid w:val="004F3ADF"/>
    <w:rsid w:val="00506596"/>
    <w:rsid w:val="005267D0"/>
    <w:rsid w:val="0053255E"/>
    <w:rsid w:val="00591F0D"/>
    <w:rsid w:val="005A78CF"/>
    <w:rsid w:val="005C45E6"/>
    <w:rsid w:val="005E5DD8"/>
    <w:rsid w:val="005F0218"/>
    <w:rsid w:val="005F0809"/>
    <w:rsid w:val="005F3701"/>
    <w:rsid w:val="006832A3"/>
    <w:rsid w:val="006A4BA5"/>
    <w:rsid w:val="006A55E3"/>
    <w:rsid w:val="006C5C56"/>
    <w:rsid w:val="00703C43"/>
    <w:rsid w:val="007054B4"/>
    <w:rsid w:val="007364CD"/>
    <w:rsid w:val="00755697"/>
    <w:rsid w:val="00777060"/>
    <w:rsid w:val="007D7D82"/>
    <w:rsid w:val="00806B99"/>
    <w:rsid w:val="00883446"/>
    <w:rsid w:val="008B5223"/>
    <w:rsid w:val="008C1F61"/>
    <w:rsid w:val="008F7563"/>
    <w:rsid w:val="008F7B85"/>
    <w:rsid w:val="009536CC"/>
    <w:rsid w:val="00954078"/>
    <w:rsid w:val="0096670B"/>
    <w:rsid w:val="00A20F7B"/>
    <w:rsid w:val="00A45739"/>
    <w:rsid w:val="00A71E9D"/>
    <w:rsid w:val="00A9668B"/>
    <w:rsid w:val="00AB23C7"/>
    <w:rsid w:val="00AE04A3"/>
    <w:rsid w:val="00B16305"/>
    <w:rsid w:val="00B92ED9"/>
    <w:rsid w:val="00BA7EF1"/>
    <w:rsid w:val="00BB7F81"/>
    <w:rsid w:val="00BC2AEE"/>
    <w:rsid w:val="00BE14BB"/>
    <w:rsid w:val="00C01D4C"/>
    <w:rsid w:val="00C578C8"/>
    <w:rsid w:val="00C82838"/>
    <w:rsid w:val="00C92744"/>
    <w:rsid w:val="00CE23BF"/>
    <w:rsid w:val="00CE4435"/>
    <w:rsid w:val="00D0167F"/>
    <w:rsid w:val="00D167E2"/>
    <w:rsid w:val="00D76B74"/>
    <w:rsid w:val="00D8021C"/>
    <w:rsid w:val="00DB0800"/>
    <w:rsid w:val="00DB385A"/>
    <w:rsid w:val="00DC67D0"/>
    <w:rsid w:val="00E102B8"/>
    <w:rsid w:val="00E132F6"/>
    <w:rsid w:val="00E24EA9"/>
    <w:rsid w:val="00E52C3A"/>
    <w:rsid w:val="00E62973"/>
    <w:rsid w:val="00E947CA"/>
    <w:rsid w:val="00E95331"/>
    <w:rsid w:val="00EA68ED"/>
    <w:rsid w:val="00EB766C"/>
    <w:rsid w:val="00ED28E5"/>
    <w:rsid w:val="00EF475E"/>
    <w:rsid w:val="00F004E2"/>
    <w:rsid w:val="00F32A20"/>
    <w:rsid w:val="00F65D3B"/>
    <w:rsid w:val="00FA33F7"/>
    <w:rsid w:val="00FC4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666AE6B-937F-440C-90DE-C4D67890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uiPriority w:val="34"/>
    <w:qFormat/>
    <w:rsid w:val="007D7D82"/>
    <w:pPr>
      <w:ind w:left="720"/>
      <w:contextualSpacing/>
    </w:pPr>
  </w:style>
  <w:style w:type="paragraph" w:customStyle="1" w:styleId="Default">
    <w:name w:val="Default"/>
    <w:rsid w:val="00C82838"/>
    <w:pPr>
      <w:autoSpaceDE w:val="0"/>
      <w:autoSpaceDN w:val="0"/>
      <w:adjustRightInd w:val="0"/>
    </w:pPr>
    <w:rPr>
      <w:rFonts w:ascii="Arial" w:eastAsia="Calibri" w:hAnsi="Arial" w:cs="Arial"/>
      <w:color w:val="000000"/>
    </w:rPr>
  </w:style>
  <w:style w:type="character" w:styleId="Hyperlink">
    <w:name w:val="Hyperlink"/>
    <w:rsid w:val="00C82838"/>
    <w:rPr>
      <w:color w:val="0000FF"/>
      <w:u w:val="single"/>
    </w:rPr>
  </w:style>
  <w:style w:type="table" w:styleId="TableGrid">
    <w:name w:val="Table Grid"/>
    <w:basedOn w:val="TableNormal"/>
    <w:uiPriority w:val="59"/>
    <w:rsid w:val="003F7DC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8ED"/>
    <w:rPr>
      <w:sz w:val="16"/>
      <w:szCs w:val="16"/>
    </w:rPr>
  </w:style>
  <w:style w:type="paragraph" w:styleId="CommentText">
    <w:name w:val="annotation text"/>
    <w:basedOn w:val="Normal"/>
    <w:link w:val="CommentTextChar"/>
    <w:uiPriority w:val="99"/>
    <w:semiHidden/>
    <w:unhideWhenUsed/>
    <w:rsid w:val="00EA68ED"/>
    <w:rPr>
      <w:sz w:val="20"/>
      <w:szCs w:val="20"/>
    </w:rPr>
  </w:style>
  <w:style w:type="character" w:customStyle="1" w:styleId="CommentTextChar">
    <w:name w:val="Comment Text Char"/>
    <w:basedOn w:val="DefaultParagraphFont"/>
    <w:link w:val="CommentText"/>
    <w:uiPriority w:val="99"/>
    <w:semiHidden/>
    <w:rsid w:val="00EA68ED"/>
    <w:rPr>
      <w:sz w:val="20"/>
      <w:szCs w:val="20"/>
    </w:rPr>
  </w:style>
  <w:style w:type="paragraph" w:styleId="CommentSubject">
    <w:name w:val="annotation subject"/>
    <w:basedOn w:val="CommentText"/>
    <w:next w:val="CommentText"/>
    <w:link w:val="CommentSubjectChar"/>
    <w:uiPriority w:val="99"/>
    <w:semiHidden/>
    <w:unhideWhenUsed/>
    <w:rsid w:val="00EA68ED"/>
    <w:rPr>
      <w:b/>
      <w:bCs/>
    </w:rPr>
  </w:style>
  <w:style w:type="character" w:customStyle="1" w:styleId="CommentSubjectChar">
    <w:name w:val="Comment Subject Char"/>
    <w:basedOn w:val="CommentTextChar"/>
    <w:link w:val="CommentSubject"/>
    <w:uiPriority w:val="99"/>
    <w:semiHidden/>
    <w:rsid w:val="00EA6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3452">
      <w:bodyDiv w:val="1"/>
      <w:marLeft w:val="0"/>
      <w:marRight w:val="0"/>
      <w:marTop w:val="0"/>
      <w:marBottom w:val="0"/>
      <w:divBdr>
        <w:top w:val="none" w:sz="0" w:space="0" w:color="auto"/>
        <w:left w:val="none" w:sz="0" w:space="0" w:color="auto"/>
        <w:bottom w:val="none" w:sz="0" w:space="0" w:color="auto"/>
        <w:right w:val="none" w:sz="0" w:space="0" w:color="auto"/>
      </w:divBdr>
    </w:div>
    <w:div w:id="2008826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6AD1-48BF-45CE-910C-9384CDDF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Hoddinott John</cp:lastModifiedBy>
  <cp:revision>2</cp:revision>
  <cp:lastPrinted>2017-03-08T12:29:00Z</cp:lastPrinted>
  <dcterms:created xsi:type="dcterms:W3CDTF">2017-04-07T13:05:00Z</dcterms:created>
  <dcterms:modified xsi:type="dcterms:W3CDTF">2017-04-07T13:05:00Z</dcterms:modified>
</cp:coreProperties>
</file>